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01075">
      <w:pPr>
        <w:adjustRightInd w:val="0"/>
        <w:snapToGrid w:val="0"/>
        <w:spacing w:line="400" w:lineRule="exact"/>
        <w:rPr>
          <w:rFonts w:hint="eastAsia" w:ascii="仿宋" w:hAnsi="仿宋" w:eastAsia="仿宋" w:cs="仿宋"/>
          <w:sz w:val="32"/>
          <w:szCs w:val="32"/>
          <w:lang w:eastAsia="zh-CN"/>
        </w:rPr>
      </w:pPr>
      <w:bookmarkStart w:id="0" w:name="_Toc20384570"/>
      <w:r>
        <w:rPr>
          <w:rFonts w:hint="eastAsia" w:ascii="仿宋" w:hAnsi="仿宋" w:eastAsia="仿宋" w:cs="仿宋"/>
          <w:sz w:val="32"/>
          <w:szCs w:val="32"/>
        </w:rPr>
        <w:t>附件</w:t>
      </w:r>
      <w:r>
        <w:rPr>
          <w:rFonts w:hint="eastAsia" w:ascii="仿宋" w:hAnsi="仿宋" w:eastAsia="仿宋" w:cs="仿宋"/>
          <w:sz w:val="32"/>
          <w:szCs w:val="32"/>
          <w:lang w:val="en-US" w:eastAsia="zh-CN"/>
        </w:rPr>
        <w:t>6</w:t>
      </w:r>
    </w:p>
    <w:p w14:paraId="4FF55146">
      <w:pPr>
        <w:jc w:val="center"/>
        <w:rPr>
          <w:rFonts w:hint="eastAsia" w:ascii="仿宋" w:hAnsi="仿宋" w:eastAsia="仿宋" w:cs="仿宋"/>
          <w:sz w:val="44"/>
          <w:szCs w:val="44"/>
          <w:u w:val="single"/>
        </w:rPr>
      </w:pPr>
    </w:p>
    <w:p w14:paraId="65F912D3">
      <w:pPr>
        <w:jc w:val="center"/>
        <w:rPr>
          <w:rFonts w:hint="eastAsia" w:ascii="仿宋" w:hAnsi="仿宋" w:eastAsia="仿宋" w:cs="仿宋"/>
          <w:sz w:val="72"/>
          <w:szCs w:val="44"/>
        </w:rPr>
      </w:pPr>
      <w:r>
        <w:rPr>
          <w:rFonts w:hint="eastAsia" w:ascii="仿宋" w:hAnsi="仿宋" w:eastAsia="仿宋" w:cs="仿宋"/>
          <w:sz w:val="72"/>
          <w:szCs w:val="44"/>
        </w:rPr>
        <w:t>政府采购项目</w:t>
      </w:r>
    </w:p>
    <w:p w14:paraId="32FD6CF8">
      <w:pPr>
        <w:jc w:val="center"/>
        <w:rPr>
          <w:rFonts w:hint="eastAsia" w:ascii="仿宋" w:hAnsi="仿宋" w:eastAsia="仿宋" w:cs="仿宋"/>
          <w:sz w:val="72"/>
          <w:szCs w:val="44"/>
        </w:rPr>
      </w:pPr>
      <w:r>
        <w:rPr>
          <w:rFonts w:hint="eastAsia" w:ascii="仿宋" w:hAnsi="仿宋" w:eastAsia="仿宋" w:cs="仿宋"/>
          <w:sz w:val="72"/>
          <w:szCs w:val="44"/>
        </w:rPr>
        <w:t>采 购 需 求</w:t>
      </w:r>
    </w:p>
    <w:p w14:paraId="206B7120">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w:t>
      </w:r>
      <w:r>
        <w:rPr>
          <w:rFonts w:hint="eastAsia" w:ascii="仿宋" w:hAnsi="仿宋" w:eastAsia="仿宋" w:cs="仿宋"/>
          <w:sz w:val="44"/>
          <w:szCs w:val="44"/>
          <w:lang w:val="en-US" w:eastAsia="zh-CN"/>
        </w:rPr>
        <w:t>工程</w:t>
      </w:r>
      <w:r>
        <w:rPr>
          <w:rFonts w:hint="eastAsia" w:ascii="仿宋" w:hAnsi="仿宋" w:eastAsia="仿宋" w:cs="仿宋"/>
          <w:sz w:val="44"/>
          <w:szCs w:val="44"/>
          <w:lang w:eastAsia="zh-CN"/>
        </w:rPr>
        <w:t>类）</w:t>
      </w:r>
    </w:p>
    <w:p w14:paraId="24AB2400">
      <w:pPr>
        <w:jc w:val="center"/>
        <w:rPr>
          <w:rFonts w:hint="eastAsia" w:ascii="仿宋" w:hAnsi="仿宋" w:eastAsia="仿宋" w:cs="仿宋"/>
          <w:sz w:val="44"/>
          <w:szCs w:val="44"/>
        </w:rPr>
      </w:pPr>
    </w:p>
    <w:p w14:paraId="4FCF6FDC">
      <w:pPr>
        <w:ind w:left="3360" w:leftChars="450" w:hanging="1920" w:hangingChars="600"/>
        <w:rPr>
          <w:rFonts w:hint="eastAsia" w:ascii="仿宋" w:hAnsi="仿宋" w:eastAsia="仿宋" w:cs="仿宋"/>
          <w:sz w:val="32"/>
          <w:szCs w:val="32"/>
          <w:lang w:val="en-US" w:eastAsia="zh-CN"/>
        </w:rPr>
      </w:pPr>
      <w:r>
        <w:rPr>
          <w:rFonts w:hint="eastAsia" w:ascii="仿宋" w:hAnsi="仿宋" w:eastAsia="仿宋" w:cs="仿宋"/>
          <w:sz w:val="32"/>
          <w:szCs w:val="32"/>
        </w:rPr>
        <w:t xml:space="preserve">项目名称： </w:t>
      </w:r>
      <w:r>
        <w:rPr>
          <w:rFonts w:hint="eastAsia" w:ascii="仿宋" w:hAnsi="仿宋" w:eastAsia="仿宋" w:cs="仿宋"/>
          <w:sz w:val="32"/>
          <w:szCs w:val="32"/>
          <w:u w:val="single"/>
        </w:rPr>
        <w:t xml:space="preserve">广东省深圳市宝安区消防救援大队2026年二级站、小分队正规化建设项目（施工）采购项目 </w:t>
      </w:r>
      <w:r>
        <w:rPr>
          <w:rFonts w:hint="eastAsia" w:ascii="仿宋" w:hAnsi="仿宋" w:eastAsia="仿宋" w:cs="仿宋"/>
          <w:sz w:val="32"/>
          <w:szCs w:val="32"/>
          <w:u w:val="single"/>
          <w:lang w:val="en-US" w:eastAsia="zh-CN"/>
        </w:rPr>
        <w:t xml:space="preserve"> </w:t>
      </w:r>
    </w:p>
    <w:p w14:paraId="57C229F7">
      <w:pPr>
        <w:ind w:firstLine="1440" w:firstLineChars="450"/>
        <w:rPr>
          <w:rFonts w:hint="eastAsia" w:ascii="仿宋" w:hAnsi="仿宋" w:eastAsia="仿宋" w:cs="仿宋"/>
          <w:sz w:val="32"/>
          <w:szCs w:val="32"/>
          <w:lang w:val="en-US" w:eastAsia="zh-CN"/>
        </w:rPr>
      </w:pPr>
      <w:r>
        <w:rPr>
          <w:rFonts w:hint="eastAsia" w:ascii="仿宋" w:hAnsi="仿宋" w:eastAsia="仿宋" w:cs="仿宋"/>
          <w:sz w:val="32"/>
          <w:szCs w:val="32"/>
        </w:rPr>
        <w:t xml:space="preserve">采购单位：  </w:t>
      </w:r>
      <w:r>
        <w:rPr>
          <w:rFonts w:hint="eastAsia" w:ascii="仿宋" w:hAnsi="仿宋" w:eastAsia="仿宋" w:cs="仿宋"/>
          <w:sz w:val="32"/>
          <w:szCs w:val="32"/>
          <w:u w:val="single"/>
        </w:rPr>
        <w:t xml:space="preserve">深圳市宝安区消防救援大队 </w:t>
      </w:r>
      <w:r>
        <w:rPr>
          <w:rFonts w:hint="eastAsia" w:ascii="仿宋" w:hAnsi="仿宋" w:eastAsia="仿宋" w:cs="仿宋"/>
          <w:sz w:val="32"/>
          <w:szCs w:val="32"/>
          <w:u w:val="single"/>
          <w:lang w:val="en-US" w:eastAsia="zh-CN"/>
        </w:rPr>
        <w:t xml:space="preserve"> </w:t>
      </w:r>
    </w:p>
    <w:p w14:paraId="35B4E8F9">
      <w:pPr>
        <w:ind w:firstLine="1440" w:firstLineChars="450"/>
        <w:rPr>
          <w:rFonts w:hint="eastAsia" w:ascii="仿宋" w:hAnsi="仿宋" w:eastAsia="仿宋" w:cs="仿宋"/>
          <w:sz w:val="32"/>
          <w:szCs w:val="32"/>
          <w:lang w:val="en-US" w:eastAsia="zh-CN"/>
        </w:rPr>
      </w:pPr>
      <w:r>
        <w:rPr>
          <w:rFonts w:hint="eastAsia" w:ascii="仿宋" w:hAnsi="仿宋" w:eastAsia="仿宋" w:cs="仿宋"/>
          <w:sz w:val="32"/>
          <w:szCs w:val="32"/>
        </w:rPr>
        <w:t xml:space="preserve">编制单位：  </w:t>
      </w:r>
      <w:r>
        <w:rPr>
          <w:rFonts w:hint="eastAsia" w:ascii="仿宋" w:hAnsi="仿宋" w:eastAsia="仿宋" w:cs="仿宋"/>
          <w:sz w:val="32"/>
          <w:szCs w:val="32"/>
          <w:u w:val="single"/>
        </w:rPr>
        <w:t xml:space="preserve">深圳市宝安区消防救援大队 </w:t>
      </w:r>
      <w:r>
        <w:rPr>
          <w:rFonts w:hint="eastAsia" w:ascii="仿宋" w:hAnsi="仿宋" w:eastAsia="仿宋" w:cs="仿宋"/>
          <w:sz w:val="32"/>
          <w:szCs w:val="32"/>
          <w:u w:val="single"/>
          <w:lang w:val="en-US" w:eastAsia="zh-CN"/>
        </w:rPr>
        <w:t xml:space="preserve"> </w:t>
      </w:r>
    </w:p>
    <w:p w14:paraId="43C131F8">
      <w:pPr>
        <w:ind w:firstLine="1440" w:firstLineChars="450"/>
        <w:rPr>
          <w:rFonts w:hint="eastAsia" w:ascii="仿宋" w:hAnsi="仿宋" w:eastAsia="仿宋" w:cs="仿宋"/>
          <w:sz w:val="32"/>
          <w:szCs w:val="32"/>
        </w:rPr>
      </w:pPr>
      <w:r>
        <w:rPr>
          <w:rFonts w:hint="eastAsia" w:ascii="仿宋" w:hAnsi="仿宋" w:eastAsia="仿宋" w:cs="仿宋"/>
          <w:sz w:val="32"/>
          <w:szCs w:val="32"/>
        </w:rPr>
        <w:t xml:space="preserve">编制时间：  </w:t>
      </w:r>
      <w:r>
        <w:rPr>
          <w:rFonts w:hint="eastAsia" w:ascii="仿宋" w:hAnsi="仿宋" w:eastAsia="仿宋" w:cs="仿宋"/>
          <w:sz w:val="32"/>
          <w:szCs w:val="32"/>
          <w:u w:val="single"/>
        </w:rPr>
        <w:t>2026年</w:t>
      </w:r>
      <w:r>
        <w:rPr>
          <w:rFonts w:hint="eastAsia" w:ascii="仿宋" w:hAnsi="仿宋" w:eastAsia="仿宋" w:cs="仿宋"/>
          <w:sz w:val="32"/>
          <w:szCs w:val="32"/>
          <w:u w:val="single"/>
          <w:lang w:val="en-US" w:eastAsia="zh-CN"/>
        </w:rPr>
        <w:t>6</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xml:space="preserve">   </w:t>
      </w:r>
    </w:p>
    <w:p w14:paraId="645DCAD7">
      <w:pPr>
        <w:rPr>
          <w:rFonts w:hint="eastAsia" w:ascii="仿宋" w:hAnsi="仿宋" w:eastAsia="仿宋" w:cs="仿宋"/>
          <w:sz w:val="44"/>
          <w:szCs w:val="44"/>
        </w:rPr>
        <w:sectPr>
          <w:footerReference r:id="rId3" w:type="default"/>
          <w:footerReference r:id="rId4" w:type="even"/>
          <w:pgSz w:w="11906" w:h="16838"/>
          <w:pgMar w:top="1440" w:right="1800" w:bottom="1440" w:left="1800" w:header="851" w:footer="992" w:gutter="0"/>
          <w:pgNumType w:fmt="decimal" w:start="1"/>
          <w:cols w:space="425" w:num="1"/>
          <w:docGrid w:type="lines" w:linePitch="312" w:charSpace="0"/>
        </w:sectPr>
      </w:pPr>
    </w:p>
    <w:p w14:paraId="49BD6B02">
      <w:pPr>
        <w:jc w:val="center"/>
        <w:rPr>
          <w:rFonts w:hint="eastAsia" w:ascii="仿宋" w:hAnsi="仿宋" w:eastAsia="仿宋" w:cs="仿宋"/>
          <w:sz w:val="44"/>
          <w:szCs w:val="44"/>
        </w:rPr>
      </w:pPr>
      <w:r>
        <w:rPr>
          <w:rFonts w:hint="eastAsia" w:ascii="仿宋" w:hAnsi="仿宋" w:eastAsia="仿宋" w:cs="仿宋"/>
          <w:sz w:val="44"/>
          <w:szCs w:val="44"/>
        </w:rPr>
        <w:t>编 制 说 明</w:t>
      </w:r>
    </w:p>
    <w:p w14:paraId="4B865C6E">
      <w:pPr>
        <w:spacing w:line="560" w:lineRule="exact"/>
        <w:ind w:firstLine="640" w:firstLineChars="200"/>
        <w:rPr>
          <w:rFonts w:hint="eastAsia" w:ascii="仿宋" w:hAnsi="仿宋" w:eastAsia="仿宋" w:cs="仿宋"/>
          <w:sz w:val="32"/>
          <w:szCs w:val="32"/>
        </w:rPr>
      </w:pPr>
    </w:p>
    <w:p w14:paraId="77E082F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一、采购单位可以自行组织编制采购需求，也可以委托采购代理机构或者其他第三方机构编制。</w:t>
      </w:r>
    </w:p>
    <w:p w14:paraId="3AF907E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二、编制的采购需求应当符合《财政部关于印发政府采购需求管理办法的通知》（财库〔2021〕22号）要求及政府采购的相关规定。</w:t>
      </w:r>
    </w:p>
    <w:p w14:paraId="02B279E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三、斜体字部分属于提醒内容，编制时应删除。</w:t>
      </w:r>
    </w:p>
    <w:p w14:paraId="7E1A8F5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四、对不适用的内容应删除，并调整相应序号。</w:t>
      </w:r>
    </w:p>
    <w:p w14:paraId="6138C5E2">
      <w:pPr>
        <w:spacing w:line="560" w:lineRule="exact"/>
        <w:rPr>
          <w:rFonts w:hint="eastAsia" w:ascii="仿宋" w:hAnsi="仿宋" w:eastAsia="仿宋" w:cs="仿宋"/>
          <w:sz w:val="32"/>
          <w:szCs w:val="32"/>
        </w:rPr>
        <w:sectPr>
          <w:footerReference r:id="rId5" w:type="default"/>
          <w:pgSz w:w="11906" w:h="16838"/>
          <w:pgMar w:top="1440" w:right="1800" w:bottom="1440" w:left="1800" w:header="851" w:footer="992" w:gutter="0"/>
          <w:pgNumType w:fmt="decimal"/>
          <w:cols w:space="425" w:num="1"/>
          <w:docGrid w:type="lines" w:linePitch="312" w:charSpace="0"/>
        </w:sectPr>
      </w:pPr>
    </w:p>
    <w:p w14:paraId="4388C0A8">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一、需求调查情况</w:t>
      </w:r>
    </w:p>
    <w:p w14:paraId="36FCCE14">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（一）是否开展需求调查</w:t>
      </w:r>
    </w:p>
    <w:p w14:paraId="1D1FAD3F">
      <w:pPr>
        <w:spacing w:line="560" w:lineRule="exact"/>
        <w:ind w:firstLine="640" w:firstLineChars="200"/>
        <w:jc w:val="left"/>
        <w:rPr>
          <w:rFonts w:hint="eastAsia" w:ascii="仿宋" w:hAnsi="仿宋" w:eastAsia="仿宋" w:cs="仿宋"/>
          <w:i w:val="0"/>
          <w:iCs/>
          <w:sz w:val="32"/>
          <w:szCs w:val="32"/>
          <w:u w:val="single"/>
          <w:lang w:eastAsia="zh-CN"/>
        </w:rPr>
      </w:pPr>
      <w:r>
        <w:rPr>
          <w:rFonts w:hint="eastAsia" w:ascii="仿宋" w:hAnsi="仿宋" w:eastAsia="仿宋" w:cs="仿宋"/>
          <w:i w:val="0"/>
          <w:iCs/>
          <w:sz w:val="32"/>
          <w:szCs w:val="32"/>
          <w:u w:val="single"/>
          <w:lang w:eastAsia="zh-CN"/>
        </w:rPr>
        <w:t>是</w:t>
      </w:r>
    </w:p>
    <w:p w14:paraId="210DDCAD">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（二）需求调查方式</w:t>
      </w:r>
    </w:p>
    <w:p w14:paraId="12B8CC83">
      <w:pPr>
        <w:spacing w:line="560" w:lineRule="exact"/>
        <w:ind w:firstLine="640" w:firstLineChars="200"/>
        <w:jc w:val="left"/>
        <w:rPr>
          <w:rFonts w:hint="default" w:ascii="仿宋" w:hAnsi="仿宋" w:eastAsia="仿宋" w:cs="仿宋"/>
          <w:i w:val="0"/>
          <w:iCs/>
          <w:sz w:val="32"/>
          <w:szCs w:val="32"/>
          <w:u w:val="single"/>
          <w:lang w:val="en-US" w:eastAsia="zh-CN"/>
        </w:rPr>
      </w:pPr>
      <w:r>
        <w:rPr>
          <w:rFonts w:hint="eastAsia" w:ascii="仿宋" w:hAnsi="仿宋" w:eastAsia="仿宋" w:cs="仿宋"/>
          <w:i w:val="0"/>
          <w:iCs/>
          <w:sz w:val="32"/>
          <w:szCs w:val="32"/>
          <w:u w:val="single"/>
          <w:lang w:eastAsia="zh-CN"/>
        </w:rPr>
        <w:t>论证</w:t>
      </w:r>
      <w:r>
        <w:rPr>
          <w:rFonts w:hint="eastAsia" w:ascii="仿宋" w:hAnsi="仿宋" w:eastAsia="仿宋" w:cs="仿宋"/>
          <w:i w:val="0"/>
          <w:iCs/>
          <w:sz w:val="32"/>
          <w:szCs w:val="32"/>
          <w:u w:val="single"/>
          <w:lang w:val="en-US" w:eastAsia="zh-CN"/>
        </w:rPr>
        <w:t>+问卷调查</w:t>
      </w:r>
    </w:p>
    <w:p w14:paraId="4BD68C22">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（三）需求调查对象</w:t>
      </w:r>
    </w:p>
    <w:p w14:paraId="22BCD664">
      <w:pPr>
        <w:spacing w:line="560" w:lineRule="exact"/>
        <w:ind w:firstLine="640" w:firstLineChars="200"/>
        <w:jc w:val="left"/>
        <w:rPr>
          <w:rFonts w:hint="eastAsia" w:ascii="仿宋" w:hAnsi="仿宋" w:eastAsia="仿宋" w:cs="仿宋"/>
          <w:i w:val="0"/>
          <w:iCs/>
          <w:sz w:val="32"/>
          <w:szCs w:val="32"/>
          <w:u w:val="single"/>
          <w:lang w:eastAsia="zh-CN"/>
        </w:rPr>
      </w:pPr>
      <w:r>
        <w:rPr>
          <w:rFonts w:hint="eastAsia" w:ascii="仿宋" w:hAnsi="仿宋" w:eastAsia="仿宋" w:cs="仿宋"/>
          <w:i w:val="0"/>
          <w:iCs/>
          <w:sz w:val="32"/>
          <w:szCs w:val="32"/>
          <w:u w:val="single"/>
          <w:lang w:eastAsia="zh-CN"/>
        </w:rPr>
        <w:t>市场主体</w:t>
      </w:r>
    </w:p>
    <w:p w14:paraId="29834718">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（四）需求调查结果</w:t>
      </w:r>
    </w:p>
    <w:p w14:paraId="4DAE6BEF">
      <w:pPr>
        <w:spacing w:line="560" w:lineRule="exact"/>
        <w:jc w:val="left"/>
        <w:rPr>
          <w:rFonts w:hint="eastAsia" w:ascii="仿宋" w:hAnsi="仿宋" w:eastAsia="仿宋" w:cs="仿宋"/>
          <w:i w:val="0"/>
          <w:iCs/>
          <w:sz w:val="32"/>
          <w:szCs w:val="32"/>
          <w:u w:val="single"/>
          <w:lang w:val="en-US" w:eastAsia="zh-CN"/>
        </w:rPr>
      </w:pPr>
      <w:r>
        <w:rPr>
          <w:rFonts w:hint="eastAsia" w:ascii="仿宋" w:hAnsi="仿宋" w:eastAsia="仿宋" w:cs="仿宋"/>
          <w:i w:val="0"/>
          <w:iCs/>
          <w:sz w:val="32"/>
          <w:szCs w:val="32"/>
          <w:u w:val="single"/>
          <w:lang w:val="en-US" w:eastAsia="zh-CN"/>
        </w:rPr>
        <w:t>1.相关产业发展情况</w:t>
      </w:r>
    </w:p>
    <w:p w14:paraId="247B1536">
      <w:pPr>
        <w:pStyle w:val="2"/>
        <w:numPr>
          <w:ilvl w:val="0"/>
          <w:numId w:val="0"/>
        </w:numPr>
        <w:rPr>
          <w:rFonts w:hint="eastAsia" w:ascii="仿宋" w:hAnsi="仿宋" w:eastAsia="仿宋" w:cs="仿宋"/>
          <w:i w:val="0"/>
          <w:iCs/>
          <w:sz w:val="32"/>
          <w:szCs w:val="32"/>
          <w:u w:val="single"/>
          <w:lang w:val="en-US" w:eastAsia="zh-CN"/>
        </w:rPr>
      </w:pPr>
      <w:r>
        <w:rPr>
          <w:rFonts w:hint="eastAsia" w:ascii="仿宋" w:hAnsi="仿宋" w:eastAsia="仿宋" w:cs="仿宋"/>
          <w:i w:val="0"/>
          <w:iCs/>
          <w:kern w:val="2"/>
          <w:sz w:val="32"/>
          <w:szCs w:val="32"/>
          <w:lang w:val="en-US" w:eastAsia="zh-CN" w:bidi="ar-SA"/>
        </w:rPr>
        <w:t>2.</w:t>
      </w:r>
      <w:r>
        <w:rPr>
          <w:rFonts w:hint="eastAsia" w:ascii="仿宋" w:hAnsi="仿宋" w:eastAsia="仿宋" w:cs="仿宋"/>
          <w:i w:val="0"/>
          <w:iCs/>
          <w:sz w:val="32"/>
          <w:szCs w:val="32"/>
          <w:u w:val="single"/>
          <w:lang w:val="en-US" w:eastAsia="zh-CN"/>
        </w:rPr>
        <w:t>市场供给情况</w:t>
      </w:r>
    </w:p>
    <w:p w14:paraId="248058F9">
      <w:pPr>
        <w:pStyle w:val="2"/>
        <w:numPr>
          <w:ilvl w:val="0"/>
          <w:numId w:val="0"/>
        </w:numPr>
        <w:rPr>
          <w:rFonts w:hint="eastAsia" w:ascii="仿宋" w:hAnsi="仿宋" w:eastAsia="仿宋" w:cs="仿宋"/>
          <w:i w:val="0"/>
          <w:iCs/>
          <w:sz w:val="32"/>
          <w:szCs w:val="32"/>
          <w:u w:val="single"/>
          <w:lang w:val="en-US" w:eastAsia="zh-CN"/>
        </w:rPr>
      </w:pPr>
      <w:r>
        <w:rPr>
          <w:rFonts w:hint="eastAsia" w:ascii="仿宋" w:hAnsi="仿宋" w:eastAsia="仿宋" w:cs="仿宋"/>
          <w:i w:val="0"/>
          <w:iCs/>
          <w:sz w:val="32"/>
          <w:szCs w:val="32"/>
          <w:u w:val="single"/>
          <w:lang w:val="en-US" w:eastAsia="zh-CN"/>
        </w:rPr>
        <w:t>3.同类采购项目历史成交信息</w:t>
      </w:r>
    </w:p>
    <w:p w14:paraId="15956590">
      <w:pPr>
        <w:pStyle w:val="2"/>
        <w:numPr>
          <w:ilvl w:val="0"/>
          <w:numId w:val="0"/>
        </w:numPr>
        <w:rPr>
          <w:rFonts w:hint="eastAsia" w:ascii="仿宋" w:hAnsi="仿宋" w:eastAsia="仿宋" w:cs="仿宋"/>
          <w:i w:val="0"/>
          <w:iCs/>
          <w:sz w:val="32"/>
          <w:szCs w:val="32"/>
          <w:u w:val="single"/>
          <w:lang w:val="en-US" w:eastAsia="zh-CN"/>
        </w:rPr>
      </w:pPr>
      <w:r>
        <w:rPr>
          <w:rFonts w:hint="eastAsia" w:ascii="仿宋" w:hAnsi="仿宋" w:eastAsia="仿宋" w:cs="仿宋"/>
          <w:i w:val="0"/>
          <w:iCs/>
          <w:sz w:val="32"/>
          <w:szCs w:val="32"/>
          <w:u w:val="single"/>
          <w:lang w:val="en-US" w:eastAsia="zh-CN"/>
        </w:rPr>
        <w:t>4.可能涉及的运行维护、升级更新、备品备件、耗材等后续采购情况</w:t>
      </w:r>
    </w:p>
    <w:p w14:paraId="5430EB94">
      <w:pPr>
        <w:pStyle w:val="2"/>
        <w:numPr>
          <w:ilvl w:val="0"/>
          <w:numId w:val="0"/>
        </w:numPr>
        <w:rPr>
          <w:rFonts w:hint="default" w:ascii="仿宋" w:hAnsi="仿宋" w:eastAsia="仿宋" w:cs="仿宋"/>
          <w:i w:val="0"/>
          <w:iCs/>
          <w:sz w:val="32"/>
          <w:szCs w:val="32"/>
          <w:u w:val="single"/>
          <w:lang w:val="en-US" w:eastAsia="zh-CN"/>
        </w:rPr>
      </w:pPr>
      <w:r>
        <w:rPr>
          <w:rFonts w:hint="eastAsia" w:ascii="仿宋" w:hAnsi="仿宋" w:eastAsia="仿宋" w:cs="仿宋"/>
          <w:i w:val="0"/>
          <w:iCs/>
          <w:sz w:val="32"/>
          <w:szCs w:val="32"/>
          <w:u w:val="single"/>
          <w:lang w:val="en-US" w:eastAsia="zh-CN"/>
        </w:rPr>
        <w:t>5.其他相关情况</w:t>
      </w:r>
    </w:p>
    <w:p w14:paraId="7918A734">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二、需求清单</w:t>
      </w:r>
    </w:p>
    <w:p w14:paraId="2176ACF7">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（一）项目概况</w:t>
      </w:r>
    </w:p>
    <w:p w14:paraId="7279DF86">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rPr>
        <w:t xml:space="preserve">项目类型：工程施工类；项目背景：为确保深圳市宝安区消防救援大队小型消防站正规化建设稳步推进，拟对宝安区15个二级站、20个小分队进行正规化改造工程施工，建立标准统一的硬件设施，打造成集六个定位为一体的社区级消防安全阵地，以实现宝安区消防站的职业化、专业化、正规化建设。建设内容主要利用现有条件进行改造提升，完成外观标识统一化、空间布局模块化、执勤训练实战化、内务设置标准化四个部分正规化建设，并对现状消防站部分内容进行改造修缮。详情请参考工程量清单、设计图纸等。 </w:t>
      </w:r>
    </w:p>
    <w:p w14:paraId="0CDC829F">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（二）采购项目预（概）算</w:t>
      </w:r>
    </w:p>
    <w:p w14:paraId="0CE187D1">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总 预 算：</w:t>
      </w:r>
      <w:r>
        <w:rPr>
          <w:rFonts w:hint="eastAsia" w:ascii="仿宋" w:hAnsi="仿宋" w:eastAsia="仿宋" w:cs="仿宋"/>
          <w:sz w:val="32"/>
          <w:szCs w:val="32"/>
          <w:u w:val="single"/>
        </w:rPr>
        <w:t xml:space="preserve"> 31819921.18元 </w:t>
      </w:r>
    </w:p>
    <w:p w14:paraId="1BB8EA7B">
      <w:pPr>
        <w:spacing w:line="560" w:lineRule="exact"/>
        <w:ind w:firstLine="640" w:firstLineChars="200"/>
        <w:jc w:val="left"/>
        <w:rPr>
          <w:rFonts w:hint="eastAsia" w:ascii="仿宋" w:hAnsi="仿宋" w:eastAsia="仿宋" w:cs="仿宋"/>
          <w:sz w:val="32"/>
          <w:szCs w:val="32"/>
        </w:rPr>
      </w:pPr>
    </w:p>
    <w:p w14:paraId="301865DB">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（三）采购标的汇总表</w:t>
      </w:r>
    </w:p>
    <w:tbl>
      <w:tblPr>
        <w:tblStyle w:val="15"/>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1843"/>
        <w:gridCol w:w="1417"/>
        <w:gridCol w:w="1276"/>
        <w:gridCol w:w="992"/>
        <w:gridCol w:w="993"/>
      </w:tblGrid>
      <w:tr w14:paraId="6A66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1" w:type="dxa"/>
            <w:noWrap w:val="0"/>
            <w:vAlign w:val="center"/>
          </w:tcPr>
          <w:p w14:paraId="528B0F2E">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包号</w:t>
            </w:r>
          </w:p>
        </w:tc>
        <w:tc>
          <w:tcPr>
            <w:tcW w:w="850" w:type="dxa"/>
            <w:noWrap w:val="0"/>
            <w:vAlign w:val="center"/>
          </w:tcPr>
          <w:p w14:paraId="149DA8BC">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843" w:type="dxa"/>
            <w:noWrap w:val="0"/>
            <w:vAlign w:val="center"/>
          </w:tcPr>
          <w:p w14:paraId="1EAE85E6">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标的名称</w:t>
            </w:r>
          </w:p>
        </w:tc>
        <w:tc>
          <w:tcPr>
            <w:tcW w:w="1417" w:type="dxa"/>
            <w:noWrap w:val="0"/>
            <w:vAlign w:val="center"/>
          </w:tcPr>
          <w:p w14:paraId="1AFE671F">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品目</w:t>
            </w:r>
          </w:p>
          <w:p w14:paraId="10A7D78D">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分类编码</w:t>
            </w:r>
          </w:p>
        </w:tc>
        <w:tc>
          <w:tcPr>
            <w:tcW w:w="1276" w:type="dxa"/>
            <w:noWrap w:val="0"/>
            <w:vAlign w:val="center"/>
          </w:tcPr>
          <w:p w14:paraId="55813BE5">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计量</w:t>
            </w:r>
          </w:p>
          <w:p w14:paraId="53A8D180">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单位</w:t>
            </w:r>
          </w:p>
        </w:tc>
        <w:tc>
          <w:tcPr>
            <w:tcW w:w="992" w:type="dxa"/>
            <w:noWrap w:val="0"/>
            <w:vAlign w:val="center"/>
          </w:tcPr>
          <w:p w14:paraId="5440D117">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数量</w:t>
            </w:r>
          </w:p>
        </w:tc>
        <w:tc>
          <w:tcPr>
            <w:tcW w:w="993" w:type="dxa"/>
            <w:noWrap w:val="0"/>
            <w:vAlign w:val="center"/>
          </w:tcPr>
          <w:p w14:paraId="5A72528E">
            <w:pPr>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是否进口</w:t>
            </w:r>
          </w:p>
        </w:tc>
      </w:tr>
      <w:tr w14:paraId="1E75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0"/>
            <w:vAlign w:val="center"/>
          </w:tcPr>
          <w:p w14:paraId="636EE03B">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850" w:type="dxa"/>
            <w:noWrap w:val="0"/>
            <w:vAlign w:val="center"/>
          </w:tcPr>
          <w:p w14:paraId="033D0EFB">
            <w:pPr>
              <w:adjustRightInd w:val="0"/>
              <w:snapToGrid w:val="0"/>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843" w:type="dxa"/>
            <w:noWrap w:val="0"/>
            <w:vAlign w:val="center"/>
          </w:tcPr>
          <w:p w14:paraId="5CB09CBC">
            <w:pPr>
              <w:adjustRightInd w:val="0"/>
              <w:snapToGrid w:val="0"/>
              <w:spacing w:line="240" w:lineRule="auto"/>
              <w:jc w:val="center"/>
              <w:rPr>
                <w:rFonts w:hint="eastAsia" w:ascii="仿宋" w:hAnsi="仿宋" w:eastAsia="仿宋" w:cs="仿宋"/>
                <w:i/>
                <w:sz w:val="28"/>
                <w:szCs w:val="28"/>
                <w:u w:val="single"/>
              </w:rPr>
            </w:pPr>
            <w:r>
              <w:rPr>
                <w:rFonts w:hint="eastAsia" w:ascii="仿宋" w:hAnsi="仿宋" w:eastAsia="仿宋" w:cs="仿宋"/>
                <w:i w:val="0"/>
                <w:iCs/>
                <w:sz w:val="28"/>
                <w:szCs w:val="28"/>
                <w:u w:val="none"/>
              </w:rPr>
              <w:t>广东省深圳市宝安区消防救援大队2026年二级站、小分队正规化改造项目（施工）采购项目</w:t>
            </w:r>
          </w:p>
        </w:tc>
        <w:tc>
          <w:tcPr>
            <w:tcW w:w="1417" w:type="dxa"/>
            <w:noWrap w:val="0"/>
            <w:vAlign w:val="center"/>
          </w:tcPr>
          <w:p w14:paraId="3E0AEF5E">
            <w:pPr>
              <w:adjustRightInd w:val="0"/>
              <w:snapToGrid w:val="0"/>
              <w:spacing w:line="560" w:lineRule="exact"/>
              <w:jc w:val="center"/>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B07</w:t>
            </w:r>
          </w:p>
        </w:tc>
        <w:tc>
          <w:tcPr>
            <w:tcW w:w="1276" w:type="dxa"/>
            <w:noWrap w:val="0"/>
            <w:vAlign w:val="center"/>
          </w:tcPr>
          <w:p w14:paraId="34496A16">
            <w:pPr>
              <w:adjustRightInd w:val="0"/>
              <w:snapToGrid w:val="0"/>
              <w:spacing w:line="560" w:lineRule="exact"/>
              <w:jc w:val="cente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项</w:t>
            </w:r>
          </w:p>
        </w:tc>
        <w:tc>
          <w:tcPr>
            <w:tcW w:w="992" w:type="dxa"/>
            <w:noWrap w:val="0"/>
            <w:vAlign w:val="center"/>
          </w:tcPr>
          <w:p w14:paraId="0DA80760">
            <w:pPr>
              <w:adjustRightInd w:val="0"/>
              <w:snapToGrid w:val="0"/>
              <w:spacing w:line="560" w:lineRule="exact"/>
              <w:jc w:val="cente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w:t>
            </w:r>
          </w:p>
        </w:tc>
        <w:tc>
          <w:tcPr>
            <w:tcW w:w="993" w:type="dxa"/>
            <w:noWrap w:val="0"/>
            <w:vAlign w:val="center"/>
          </w:tcPr>
          <w:p w14:paraId="0C4E742D">
            <w:pPr>
              <w:adjustRightInd w:val="0"/>
              <w:snapToGrid w:val="0"/>
              <w:spacing w:line="560" w:lineRule="exact"/>
              <w:jc w:val="cente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否</w:t>
            </w:r>
          </w:p>
        </w:tc>
      </w:tr>
    </w:tbl>
    <w:p w14:paraId="6CD5A7F5">
      <w:pPr>
        <w:spacing w:line="560" w:lineRule="exact"/>
        <w:ind w:firstLine="640" w:firstLineChars="200"/>
        <w:jc w:val="left"/>
        <w:rPr>
          <w:rFonts w:hint="eastAsia" w:ascii="仿宋" w:hAnsi="仿宋" w:eastAsia="仿宋" w:cs="仿宋"/>
          <w:bCs/>
          <w:color w:val="000000"/>
          <w:szCs w:val="21"/>
        </w:rPr>
      </w:pPr>
    </w:p>
    <w:p w14:paraId="3A4857E6">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（四）技术商务要求</w:t>
      </w:r>
    </w:p>
    <w:p w14:paraId="52D3E774">
      <w:pPr>
        <w:spacing w:line="560" w:lineRule="exact"/>
        <w:ind w:firstLine="640" w:firstLineChars="200"/>
        <w:jc w:val="left"/>
        <w:rPr>
          <w:rFonts w:hint="eastAsia" w:ascii="仿宋" w:hAnsi="仿宋" w:eastAsia="仿宋" w:cs="仿宋"/>
        </w:rPr>
      </w:pPr>
      <w:r>
        <w:rPr>
          <w:rFonts w:hint="eastAsia" w:ascii="仿宋" w:hAnsi="仿宋" w:eastAsia="仿宋" w:cs="仿宋"/>
          <w:sz w:val="32"/>
          <w:szCs w:val="32"/>
        </w:rPr>
        <w:t>（1）技术要求</w:t>
      </w:r>
    </w:p>
    <w:p w14:paraId="1D25ACB0">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1、工程量及工程内容</w:t>
      </w:r>
    </w:p>
    <w:p w14:paraId="5568A3B8">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具体详见工程量清单、设计图纸的要求。</w:t>
      </w:r>
    </w:p>
    <w:p w14:paraId="49FBC272">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2、安全文明施工</w:t>
      </w:r>
    </w:p>
    <w:p w14:paraId="639AC224">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投标人在施工过程中必须按施工安全规范及采取预防事故的措施，确保施工安全和第三者安全。施工期间，在施工范围内若发生一切安全事故，相关应承担的法律责任、抚恤费及经济赔偿费，均由投标人负责，采购人对此不承担任何责任。</w:t>
      </w:r>
    </w:p>
    <w:p w14:paraId="4D8859A0">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2）本工程安全文明施工措施费的支付说明：在施工过程中，经监理单位或采购人发现投标人未按国家、省、市及深圳市有关安全文明施工的规定实施安全防护、文明施工等措施项目时，采购人有权责令投标人限期整改。若投标人逾期未整改或整改不合格的，则每次按施工现场安全文明施工措施费的 5%进行处罚（直接在当月进度款中扣留），累计三次以上，报建设行政主管部门处理。</w:t>
      </w:r>
    </w:p>
    <w:p w14:paraId="5E58BC68">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3）投标人必须达到有关部门规定的安全文明施工标准，服从采购人的管理，合理安排施工时间（可能造成的窝工应在投标报价中考虑），避免干扰采购人的正常工作秩序，认真做好施工现场防护、防火、噪音、用电等安全文明施工各项管理工作，承担相应一切责任，确保施工场地区域道路通畅，保持施工现场整洁，做到工完场清，达到国家卫生城市标准。</w:t>
      </w:r>
    </w:p>
    <w:p w14:paraId="2A8FEFC8">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（4）投标人必须自行解决施工材料的保管存放、施工人员住宿等问题。施工过程中采取有效措施，对原有电梯、过道、施工范围周边的成品保护，如有损坏负责维修，并承担相应的维修费用。</w:t>
      </w:r>
    </w:p>
    <w:p w14:paraId="1DFE695E">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3、关于延误工期</w:t>
      </w:r>
    </w:p>
    <w:p w14:paraId="590E891F">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（1）除采购人同意的其他时间外，施工时间为当日 8:00 至18：00。工程若因采购人原因或遇不可抗力而产生的停工，采购人仅对影响部分工期顺延，而不负责其他任何费用，投标人亦不能因此原因而向采购人作出任何经济上的索赔，投标人还必须向监理工程师发出书面通知，并在通知内详列就此所遭受延误的细节及原因，监理工程师收到通知后对延误事项进行确定。</w:t>
      </w:r>
    </w:p>
    <w:p w14:paraId="7ECCA54A">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（2）由于投标人原因导致工程进度滞后，投标人必须采取有效的赶工措施追赶进度。工期每拖延一天，扣除中标人违约金1000元，扣除上限为合同金额的 5%，在结算时扣除。若工期明显出现严重延误经采购人和监理单位书面通知后仍不采取有效措施以确保竣工工期的，或虽然采取了一定措施但仍表明不能在合同约定的时间内完成施工任务的，采购人有权委托第三方施工，因此发生的一切费用在工程款中扣留，投标人不得拒绝，否则采购人有权中止合同并将投标人清退出场，由此造成的损失由投标人自行承担。</w:t>
      </w:r>
    </w:p>
    <w:p w14:paraId="44C2C5C3">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4、工程的工程量变更及施工图纸变更的补充说明、任何不经采购人确认的工程施工设计图纸的变更均被视为无效变更，任何未经监理及采购人共同确认的工程量变更均被视为无效变更。现场工程量的确认必须经采购人现场工程师、监理单位的确认。</w:t>
      </w:r>
    </w:p>
    <w:p w14:paraId="0ED325E1">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5、投标人采购材料设备</w:t>
      </w:r>
    </w:p>
    <w:p w14:paraId="476D7BD4">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凡将构成永久工程组成部分的一切材料（含半成品、成品、构配件及设备），都必须是符合建设工程质量管理有关要求和规定，并经监理工程师及发包人批准的全新合格材料。承包人在这些材料的自购和自采加工之前，应取得监理工程师的同意，必要时应附有材料样品及其材质和使用的有关说明。</w:t>
      </w:r>
    </w:p>
    <w:p w14:paraId="7BA29B68">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（2）没有监理工程师的事先同意，不得采用任何代用材料。</w:t>
      </w:r>
    </w:p>
    <w:p w14:paraId="2F3FB200">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6、若由采购人原因（如规划、政策等）引起的调整，或采购人的实际存在的其它原因发生设计变更时，投标人应按采购人的设计变更程序对工程量和造价进行确认，并不得拒绝施工。</w:t>
      </w:r>
    </w:p>
    <w:p w14:paraId="43BDAACF">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7、工程量清单和图纸</w:t>
      </w:r>
    </w:p>
    <w:p w14:paraId="1722AAE5">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附件另附。</w:t>
      </w:r>
    </w:p>
    <w:p w14:paraId="6F409E6B">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（2）商务要求</w:t>
      </w:r>
    </w:p>
    <w:p w14:paraId="300E5F15">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（一）▲工期要求： 合同签订后540个日历天</w:t>
      </w:r>
    </w:p>
    <w:p w14:paraId="75C49AE5">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（二）建设地点：深圳市宝安区消防救援大队二级站、小分队</w:t>
      </w:r>
    </w:p>
    <w:p w14:paraId="31C1D4CC">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（三）报价要求</w:t>
      </w:r>
    </w:p>
    <w:p w14:paraId="64C2511E">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（1）本工程的工程量清单的投标单价按综合单价方式进行报价。</w:t>
      </w:r>
    </w:p>
    <w:p w14:paraId="3DD6A544">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CF22063">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（3）投标人的投标报价，应是本项目招标范围和招标文件及合同条款上所列的各项内容中所述的全部，不得以任何理由予以重复，并以投标人在工程量清单中提出的综合单价或总价为依据。</w:t>
      </w:r>
    </w:p>
    <w:p w14:paraId="302FEF74">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4）除非政府集中采购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14:paraId="3A506CF3">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（5）投标人应先到工地踏勘以充分了解工地的位置、情况、道路、储存空间、装卸限制及任何其它足以影响投标报价的情况，任何因忽视或误解工地情况而导致的索赔或工期延长申请将不获批准。</w:t>
      </w:r>
    </w:p>
    <w:p w14:paraId="41822A14">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14:paraId="2596DD40">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（7）投标人投标报价总额一经中标后，即作为中标单位与采购单位签订该项目合同的总价。</w:t>
      </w:r>
    </w:p>
    <w:p w14:paraId="5BCE70CC">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（8）本项目不接受总价优惠折扣形式的报价，投标人应将对项目的优惠直接在清单报价中体现出来。</w:t>
      </w:r>
    </w:p>
    <w:p w14:paraId="700425DA">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（9）采购单位委托投标人办理的保险事项：建筑工程一切险、安装工程一切险和第三者责任险，所需的保险费已包含在投标价中，施工中若发生安全事故，一切责任及费用由施工单位负责。</w:t>
      </w:r>
    </w:p>
    <w:p w14:paraId="3C1046C4">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（10）工程完工后，投标人应恢复原有保洁标准（工程量按实计算），并使监理工程师和采购单位满意，满足政府管理部门的规定和要求。</w:t>
      </w:r>
    </w:p>
    <w:p w14:paraId="69AC38A8">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11）如本工程涉及取土和弃土项目，地点、时间、路线投标人应取得国土、城管部门的同意，不得由此带给采购人任何费用的增加。凡是因投标人措施不当而引起的罚款、索赔和指控等由投标人自行承担。投标价不因取土或弃土实际运距与分部分项工程量清单不同而</w:t>
      </w:r>
      <w:r>
        <w:rPr>
          <w:rFonts w:hint="eastAsia" w:ascii="仿宋" w:hAnsi="仿宋" w:eastAsia="仿宋" w:cs="仿宋"/>
          <w:sz w:val="32"/>
          <w:szCs w:val="32"/>
          <w:lang w:eastAsia="zh-CN"/>
        </w:rPr>
        <w:t>做</w:t>
      </w:r>
      <w:r>
        <w:rPr>
          <w:rFonts w:hint="eastAsia" w:ascii="仿宋" w:hAnsi="仿宋" w:eastAsia="仿宋" w:cs="仿宋"/>
          <w:sz w:val="32"/>
          <w:szCs w:val="32"/>
        </w:rPr>
        <w:t>调整。土方回填料必须满足国家技术规范之要求，绿化填土面层必须选用适宜种植的填土。</w:t>
      </w:r>
    </w:p>
    <w:p w14:paraId="64BC7AD1">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（12）一切与施工相关的检验试验费（政府有关部门规定由建设单位支付的检验试验费除外）已含在投标价中。</w:t>
      </w:r>
    </w:p>
    <w:p w14:paraId="5FC53CF2">
      <w:pPr>
        <w:spacing w:line="560" w:lineRule="exact"/>
        <w:ind w:firstLine="0" w:firstLineChars="0"/>
        <w:jc w:val="left"/>
        <w:rPr>
          <w:rFonts w:hint="eastAsia" w:ascii="仿宋" w:hAnsi="仿宋" w:eastAsia="仿宋" w:cs="仿宋"/>
          <w:sz w:val="32"/>
          <w:szCs w:val="32"/>
          <w:lang w:eastAsia="zh-CN"/>
        </w:rPr>
      </w:pPr>
      <w:r>
        <w:rPr>
          <w:rFonts w:hint="eastAsia" w:ascii="仿宋" w:hAnsi="仿宋" w:eastAsia="仿宋" w:cs="仿宋"/>
          <w:sz w:val="32"/>
          <w:szCs w:val="32"/>
        </w:rPr>
        <w:t>（四）质量考核</w:t>
      </w:r>
      <w:r>
        <w:rPr>
          <w:rFonts w:hint="eastAsia" w:ascii="仿宋" w:hAnsi="仿宋" w:eastAsia="仿宋" w:cs="仿宋"/>
          <w:sz w:val="32"/>
          <w:szCs w:val="32"/>
          <w:lang w:val="en-US" w:eastAsia="zh-CN"/>
        </w:rPr>
        <w:t>的</w:t>
      </w:r>
      <w:r>
        <w:rPr>
          <w:rFonts w:hint="eastAsia" w:ascii="仿宋" w:hAnsi="仿宋" w:eastAsia="仿宋" w:cs="仿宋"/>
          <w:sz w:val="32"/>
          <w:szCs w:val="32"/>
        </w:rPr>
        <w:t>验收标准及违约</w:t>
      </w:r>
      <w:r>
        <w:rPr>
          <w:rFonts w:hint="eastAsia" w:ascii="仿宋" w:hAnsi="仿宋" w:eastAsia="仿宋" w:cs="仿宋"/>
          <w:sz w:val="32"/>
          <w:szCs w:val="32"/>
          <w:lang w:val="en-US" w:eastAsia="zh-CN"/>
        </w:rPr>
        <w:t>责任</w:t>
      </w:r>
    </w:p>
    <w:p w14:paraId="4FC6D0B9">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1、质量考核验收标准：合格</w:t>
      </w:r>
    </w:p>
    <w:p w14:paraId="59227FAD">
      <w:pPr>
        <w:spacing w:line="560" w:lineRule="exact"/>
        <w:ind w:firstLine="0" w:firstLineChars="0"/>
        <w:jc w:val="left"/>
        <w:rPr>
          <w:rFonts w:hint="eastAsia"/>
        </w:rPr>
      </w:pPr>
      <w:r>
        <w:rPr>
          <w:rFonts w:hint="eastAsia"/>
          <w:lang w:val="en-US" w:eastAsia="zh-CN"/>
        </w:rPr>
        <w:t>（1）</w:t>
      </w:r>
      <w:r>
        <w:rPr>
          <w:rFonts w:hint="eastAsia"/>
        </w:rPr>
        <w:t>本工程使用的材料、设备以及施工必须符合国家、部委、行业及工程所在省、市颁布的有关标准、规范、规程和验收标准等的要求，当国家、行业及工程所在地地方标准、规范存在不一致时，以要求更严格者为准，如设计另有规定，按设计规定执行，但不得低于现行更严格的标准、规范、规程和验收标准。</w:t>
      </w:r>
    </w:p>
    <w:p w14:paraId="1242D72E">
      <w:pPr>
        <w:spacing w:line="560" w:lineRule="exact"/>
        <w:ind w:firstLine="0" w:firstLineChars="0"/>
        <w:jc w:val="left"/>
        <w:rPr>
          <w:rFonts w:hint="eastAsia"/>
        </w:rPr>
      </w:pPr>
      <w:r>
        <w:rPr>
          <w:rFonts w:hint="eastAsia"/>
          <w:lang w:val="en-US" w:eastAsia="zh-CN"/>
        </w:rPr>
        <w:t>（2）</w:t>
      </w:r>
      <w:r>
        <w:rPr>
          <w:rFonts w:hint="eastAsia"/>
        </w:rPr>
        <w:t>工程完工后，</w:t>
      </w:r>
      <w:r>
        <w:rPr>
          <w:rFonts w:hint="eastAsia"/>
          <w:lang w:val="en-US" w:eastAsia="zh-CN"/>
        </w:rPr>
        <w:t>投标人</w:t>
      </w:r>
      <w:r>
        <w:rPr>
          <w:rFonts w:hint="eastAsia"/>
        </w:rPr>
        <w:t>应当通知</w:t>
      </w:r>
      <w:r>
        <w:rPr>
          <w:rFonts w:hint="eastAsia"/>
          <w:lang w:val="en-US" w:eastAsia="zh-CN"/>
        </w:rPr>
        <w:t>采购人</w:t>
      </w:r>
      <w:r>
        <w:rPr>
          <w:rFonts w:hint="eastAsia"/>
        </w:rPr>
        <w:t>进行竣工验收，</w:t>
      </w:r>
      <w:r>
        <w:rPr>
          <w:rFonts w:hint="eastAsia"/>
          <w:lang w:val="en-US" w:eastAsia="zh-CN"/>
        </w:rPr>
        <w:t>采购人应</w:t>
      </w:r>
      <w:r>
        <w:rPr>
          <w:rFonts w:hint="eastAsia"/>
        </w:rPr>
        <w:t>自接到通知后</w:t>
      </w:r>
      <w:r>
        <w:rPr>
          <w:rFonts w:hint="eastAsia"/>
          <w:lang w:val="en-US" w:eastAsia="zh-CN"/>
        </w:rPr>
        <w:t>10</w:t>
      </w:r>
      <w:r>
        <w:rPr>
          <w:rFonts w:hint="eastAsia"/>
        </w:rPr>
        <w:t>日内</w:t>
      </w:r>
      <w:r>
        <w:rPr>
          <w:rFonts w:hint="eastAsia"/>
          <w:lang w:val="en-US" w:eastAsia="zh-CN"/>
        </w:rPr>
        <w:t>组织验收会议，并组织勘察单位、设计单位、监理单位和施工单位等有关单位参与参与</w:t>
      </w:r>
      <w:r>
        <w:rPr>
          <w:rFonts w:hint="eastAsia"/>
        </w:rPr>
        <w:t>验收。</w:t>
      </w:r>
    </w:p>
    <w:p w14:paraId="10A071F4">
      <w:pPr>
        <w:spacing w:line="560" w:lineRule="exact"/>
        <w:ind w:firstLine="0" w:firstLineChars="0"/>
        <w:jc w:val="left"/>
        <w:rPr>
          <w:rFonts w:hint="eastAsia"/>
        </w:rPr>
      </w:pPr>
      <w:r>
        <w:rPr>
          <w:rFonts w:hint="eastAsia"/>
          <w:lang w:eastAsia="zh-CN"/>
        </w:rPr>
        <w:t>（</w:t>
      </w:r>
      <w:r>
        <w:rPr>
          <w:rFonts w:hint="eastAsia"/>
          <w:lang w:val="en-US" w:eastAsia="zh-CN"/>
        </w:rPr>
        <w:t>3</w:t>
      </w:r>
      <w:r>
        <w:rPr>
          <w:rFonts w:hint="eastAsia"/>
          <w:lang w:eastAsia="zh-CN"/>
        </w:rPr>
        <w:t>）</w:t>
      </w:r>
      <w:r>
        <w:rPr>
          <w:rFonts w:hint="eastAsia"/>
        </w:rPr>
        <w:t>竣工验收合格的，</w:t>
      </w:r>
      <w:r>
        <w:rPr>
          <w:rFonts w:hint="eastAsia"/>
          <w:lang w:val="en-US" w:eastAsia="zh-CN"/>
        </w:rPr>
        <w:t>应出具</w:t>
      </w:r>
      <w:r>
        <w:rPr>
          <w:rFonts w:hint="eastAsia"/>
        </w:rPr>
        <w:t>《</w:t>
      </w:r>
      <w:r>
        <w:rPr>
          <w:rFonts w:hint="eastAsia"/>
          <w:lang w:val="en-US" w:eastAsia="zh-CN"/>
        </w:rPr>
        <w:t>工程竣工验收报告书</w:t>
      </w:r>
      <w:r>
        <w:rPr>
          <w:rFonts w:hint="eastAsia"/>
        </w:rPr>
        <w:t>》</w:t>
      </w:r>
      <w:r>
        <w:rPr>
          <w:rFonts w:hint="eastAsia"/>
          <w:lang w:eastAsia="zh-CN"/>
        </w:rPr>
        <w:t>，</w:t>
      </w:r>
      <w:r>
        <w:rPr>
          <w:rFonts w:hint="eastAsia"/>
          <w:lang w:val="en-US" w:eastAsia="zh-CN"/>
        </w:rPr>
        <w:t>并由各方签署竣工验收合格意见</w:t>
      </w:r>
      <w:r>
        <w:rPr>
          <w:rFonts w:hint="eastAsia"/>
        </w:rPr>
        <w:t>。</w:t>
      </w:r>
      <w:r>
        <w:rPr>
          <w:rFonts w:hint="eastAsia"/>
          <w:lang w:val="en-US" w:eastAsia="zh-CN"/>
        </w:rPr>
        <w:t>投标人</w:t>
      </w:r>
      <w:r>
        <w:rPr>
          <w:rFonts w:hint="eastAsia"/>
        </w:rPr>
        <w:t>应在竣工验收后5日内向</w:t>
      </w:r>
      <w:r>
        <w:rPr>
          <w:rFonts w:hint="eastAsia"/>
          <w:lang w:val="en-US" w:eastAsia="zh-CN"/>
        </w:rPr>
        <w:t>采购人</w:t>
      </w:r>
      <w:r>
        <w:rPr>
          <w:rFonts w:hint="eastAsia"/>
        </w:rPr>
        <w:t>出具《工程保修单》并向</w:t>
      </w:r>
      <w:r>
        <w:rPr>
          <w:rFonts w:hint="eastAsia"/>
          <w:lang w:val="en-US" w:eastAsia="zh-CN"/>
        </w:rPr>
        <w:t>采购人</w:t>
      </w:r>
      <w:r>
        <w:rPr>
          <w:rFonts w:hint="eastAsia"/>
        </w:rPr>
        <w:t>提供其施工部分的水、电等隐蔽工程竣工图。保修期自工程竣工验收合格之日起算。</w:t>
      </w:r>
    </w:p>
    <w:p w14:paraId="21642EAD">
      <w:pPr>
        <w:pStyle w:val="2"/>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2、质量考核违约责任</w:t>
      </w:r>
    </w:p>
    <w:p w14:paraId="6364C0F8">
      <w:pPr>
        <w:pStyle w:val="2"/>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（1）如因投标人原因导致工程质量问题的，投标人应对工程质量不合格的部位进行返工并承担由此导致的费用。因返工造成工程延期交付视同延误工期。</w:t>
      </w:r>
    </w:p>
    <w:p w14:paraId="1EBA2E51">
      <w:pPr>
        <w:pStyle w:val="2"/>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（2）对质量保修期内发生的质量问题，投标人应积极响应组织维修并承担相应维修费用，如投标人怠于组织维修的，采购人有权自行组织或委托他人进行维修，所发生的费用将在投标人的质量保修金里扣除。</w:t>
      </w:r>
    </w:p>
    <w:p w14:paraId="318F6060">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（五）付款方式</w:t>
      </w:r>
    </w:p>
    <w:p w14:paraId="132F8BE3">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1、付款原则：工程进度款根据市财政拨款情况、监督、监理情况分期付给。由于投标单位原因造成工程款不能支付，责任由投标单位承担。</w:t>
      </w:r>
    </w:p>
    <w:p w14:paraId="334C3008">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2、预付款的支付</w:t>
      </w:r>
    </w:p>
    <w:p w14:paraId="1A1057C2">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（1）本工程的工程预付款比例为签约合同价的</w:t>
      </w:r>
      <w:r>
        <w:rPr>
          <w:rFonts w:hint="eastAsia" w:ascii="仿宋" w:hAnsi="仿宋" w:eastAsia="仿宋" w:cs="仿宋"/>
          <w:sz w:val="32"/>
          <w:szCs w:val="32"/>
          <w:u w:val="single"/>
        </w:rPr>
        <w:t xml:space="preserve"> 30 </w:t>
      </w:r>
      <w:r>
        <w:rPr>
          <w:rFonts w:hint="eastAsia" w:ascii="仿宋" w:hAnsi="仿宋" w:eastAsia="仿宋" w:cs="仿宋"/>
          <w:sz w:val="32"/>
          <w:szCs w:val="32"/>
        </w:rPr>
        <w:t>%，即：¥</w:t>
      </w:r>
      <w:r>
        <w:rPr>
          <w:rFonts w:hint="eastAsia" w:ascii="仿宋" w:hAnsi="仿宋" w:eastAsia="仿宋" w:cs="仿宋"/>
          <w:sz w:val="32"/>
          <w:szCs w:val="32"/>
          <w:u w:val="single"/>
        </w:rPr>
        <w:t xml:space="preserve">   /   </w:t>
      </w:r>
      <w:r>
        <w:rPr>
          <w:rFonts w:hint="eastAsia" w:ascii="仿宋" w:hAnsi="仿宋" w:eastAsia="仿宋" w:cs="仿宋"/>
          <w:sz w:val="32"/>
          <w:szCs w:val="32"/>
        </w:rPr>
        <w:t>。</w:t>
      </w:r>
    </w:p>
    <w:p w14:paraId="1FBBC4E0">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其中，施工现场安全文明措施费预付款的金额：按相关规定。</w:t>
      </w:r>
    </w:p>
    <w:p w14:paraId="6E2B15E5">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（2）关于本工程预付款担保的约定：支付预付款7天前需提供预付款担保，担保形式采用银行保函 。</w:t>
      </w:r>
    </w:p>
    <w:p w14:paraId="1AA0DBFE">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（3）采购人向投标人支付工程预付款的时间：合同</w:t>
      </w:r>
      <w:r>
        <w:rPr>
          <w:rFonts w:hint="eastAsia" w:ascii="仿宋" w:hAnsi="仿宋" w:eastAsia="仿宋" w:cs="仿宋"/>
          <w:sz w:val="32"/>
          <w:szCs w:val="32"/>
          <w:lang w:eastAsia="zh-CN"/>
        </w:rPr>
        <w:t>签订</w:t>
      </w:r>
      <w:r>
        <w:rPr>
          <w:rFonts w:hint="eastAsia" w:ascii="仿宋" w:hAnsi="仿宋" w:eastAsia="仿宋" w:cs="仿宋"/>
          <w:sz w:val="32"/>
          <w:szCs w:val="32"/>
        </w:rPr>
        <w:t>后、工程开工前7天。</w:t>
      </w:r>
    </w:p>
    <w:p w14:paraId="278474A1">
      <w:pPr>
        <w:spacing w:line="560" w:lineRule="exact"/>
        <w:ind w:firstLine="0" w:firstLineChars="0"/>
        <w:jc w:val="left"/>
        <w:rPr>
          <w:rFonts w:hint="eastAsia" w:ascii="仿宋" w:hAnsi="仿宋" w:eastAsia="仿宋" w:cs="仿宋"/>
          <w:sz w:val="32"/>
          <w:szCs w:val="32"/>
          <w:u w:val="single"/>
        </w:rPr>
      </w:pPr>
      <w:r>
        <w:rPr>
          <w:rFonts w:hint="eastAsia" w:ascii="仿宋" w:hAnsi="仿宋" w:eastAsia="仿宋" w:cs="仿宋"/>
          <w:sz w:val="32"/>
          <w:szCs w:val="32"/>
        </w:rPr>
        <w:t>采购人支付预付款之前，还应具备的条件：</w:t>
      </w:r>
      <w:r>
        <w:rPr>
          <w:rFonts w:hint="eastAsia" w:ascii="仿宋" w:hAnsi="仿宋" w:eastAsia="仿宋" w:cs="仿宋"/>
          <w:sz w:val="32"/>
          <w:szCs w:val="32"/>
          <w:u w:val="single"/>
        </w:rPr>
        <w:t xml:space="preserve">   /   </w:t>
      </w:r>
    </w:p>
    <w:p w14:paraId="6CB3F198">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（4）工程预付款扣回的起扣点：累计完成量达到合同价款40%时起扣。每次按预付款等比例回扣。</w:t>
      </w:r>
    </w:p>
    <w:p w14:paraId="7B2F4FFA">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工程预付款扣回比例：按比例扣回，支付到合同价70%之前扣完。</w:t>
      </w:r>
    </w:p>
    <w:p w14:paraId="0F606C59">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3、进度款的支付</w:t>
      </w:r>
    </w:p>
    <w:p w14:paraId="5B2FDB08">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（1）期中结算</w:t>
      </w:r>
    </w:p>
    <w:p w14:paraId="2A9845D1">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本工程办理期中结算与支付的时间间隔为：每月25日前填报当月实际完成的工程量，并经监理工程师、采购人代表审核后进行计价，每月进度款按实际完成工程量造价的85%支付，工程变更部分进度款经变更备案后按照实际完成工程造价的85%支付。全部工程按规定竣工验收合格结算并经相关审计部门完成结算审计后支付至结算审计金额的97%，其余3%作为工程质保金，待保修期满后按规定一次性付清。结算余款如在上述时间节点后半年内投标人未按要求申请办理付款手续，采购人将视为投标人已经放弃此部分余款的权利，采购人将不再支付此部分余款，后果由投标人自行承担。</w:t>
      </w:r>
    </w:p>
    <w:p w14:paraId="6A48E110">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采购人未能及时支付工程进度款时，投标人可发出书面通知要求及时付款。如采购人因特殊困难不能及时支付进度款时，双方可协商确定延期付款方案。采购人不支付延期应付款项的利息。</w:t>
      </w:r>
    </w:p>
    <w:p w14:paraId="652C0C1C">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（2）期中支付</w:t>
      </w:r>
    </w:p>
    <w:p w14:paraId="54E160F5">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期中支付的最低金额为：若经审批的当月进度款不足50万元时，采购人不支付当月进度款，结转至下月进度款累计支付。</w:t>
      </w:r>
    </w:p>
    <w:p w14:paraId="32FB6322">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（六）项目保修要求</w:t>
      </w:r>
    </w:p>
    <w:p w14:paraId="4478B5A5">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根据《住房城乡建设部财政部关于印发建设工程质量保证金管理办法的通知》(建质[2017]138号)意见，装修保修期为二年，安装保修期为二年，防水保修期为五年，保修质保金为结算金额的3%。</w:t>
      </w:r>
    </w:p>
    <w:p w14:paraId="7B746D2B">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验收标准：符合国家相关规定。</w:t>
      </w:r>
    </w:p>
    <w:p w14:paraId="60E637E0">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▲服务响应时间：保修期间维保响应时间（从接到通知到到达现场）不超过12小时。</w:t>
      </w:r>
    </w:p>
    <w:p w14:paraId="14F71F71">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（七）图纸和技术资料的提供</w:t>
      </w:r>
    </w:p>
    <w:p w14:paraId="2B6389EF">
      <w:pPr>
        <w:spacing w:line="560" w:lineRule="exact"/>
        <w:ind w:firstLine="0" w:firstLineChars="0"/>
        <w:jc w:val="left"/>
        <w:rPr>
          <w:rFonts w:hint="eastAsia" w:ascii="仿宋" w:hAnsi="仿宋" w:eastAsia="仿宋" w:cs="仿宋"/>
          <w:sz w:val="32"/>
          <w:szCs w:val="32"/>
        </w:rPr>
      </w:pPr>
      <w:r>
        <w:rPr>
          <w:rFonts w:hint="eastAsia" w:ascii="仿宋" w:hAnsi="仿宋" w:eastAsia="仿宋" w:cs="仿宋"/>
          <w:sz w:val="32"/>
          <w:szCs w:val="32"/>
        </w:rPr>
        <w:t>（1）发包人应在本合同签订后10天内向承包人提供 2 套完整的施工图和其它技术资料。</w:t>
      </w:r>
    </w:p>
    <w:p w14:paraId="50B6F4F7">
      <w:pPr>
        <w:spacing w:line="560" w:lineRule="exact"/>
        <w:ind w:firstLine="0" w:firstLineChars="0"/>
        <w:jc w:val="left"/>
        <w:rPr>
          <w:rFonts w:hint="eastAsia" w:ascii="仿宋" w:hAnsi="仿宋" w:eastAsia="仿宋" w:cs="仿宋"/>
        </w:rPr>
      </w:pPr>
      <w:r>
        <w:rPr>
          <w:rFonts w:hint="eastAsia" w:ascii="仿宋" w:hAnsi="仿宋" w:eastAsia="仿宋" w:cs="仿宋"/>
          <w:sz w:val="32"/>
          <w:szCs w:val="32"/>
        </w:rPr>
        <w:t>（2）承包人发现发包人提供的图纸存在差错、遗漏或缺陷的，应在3天内通知监理人。监理人应附具相关意见并在3天内报送发包人，发包人应在收到监理人报送的通知后在7天内作出决定。</w:t>
      </w:r>
    </w:p>
    <w:p w14:paraId="40CE940F">
      <w:pPr>
        <w:spacing w:line="560" w:lineRule="exact"/>
        <w:ind w:firstLine="0" w:firstLineChars="0"/>
        <w:jc w:val="left"/>
        <w:rPr>
          <w:rFonts w:hint="eastAsia" w:ascii="仿宋" w:hAnsi="仿宋" w:eastAsia="仿宋" w:cs="仿宋"/>
        </w:rPr>
      </w:pPr>
    </w:p>
    <w:p w14:paraId="6879C25C">
      <w:pPr>
        <w:spacing w:line="560" w:lineRule="exact"/>
        <w:ind w:firstLine="0" w:firstLineChars="0"/>
        <w:jc w:val="left"/>
        <w:rPr>
          <w:rFonts w:hint="eastAsia" w:ascii="仿宋" w:hAnsi="仿宋" w:eastAsia="仿宋" w:cs="仿宋"/>
        </w:rPr>
      </w:pPr>
    </w:p>
    <w:p w14:paraId="2682142D">
      <w:pPr>
        <w:pStyle w:val="2"/>
        <w:rPr>
          <w:rFonts w:hint="eastAsia" w:ascii="仿宋" w:hAnsi="仿宋" w:eastAsia="仿宋" w:cs="仿宋"/>
        </w:rPr>
      </w:pPr>
    </w:p>
    <w:p w14:paraId="27DBA9FA">
      <w:pPr>
        <w:pStyle w:val="2"/>
        <w:rPr>
          <w:rFonts w:hint="eastAsia" w:ascii="仿宋" w:hAnsi="仿宋" w:eastAsia="仿宋" w:cs="仿宋"/>
        </w:rPr>
      </w:pPr>
    </w:p>
    <w:p w14:paraId="2CC7A931">
      <w:pPr>
        <w:pStyle w:val="2"/>
        <w:rPr>
          <w:rFonts w:hint="eastAsia" w:ascii="仿宋" w:hAnsi="仿宋" w:eastAsia="仿宋" w:cs="仿宋"/>
        </w:rPr>
      </w:pPr>
    </w:p>
    <w:p w14:paraId="6DD3CCBF">
      <w:pPr>
        <w:pStyle w:val="2"/>
        <w:rPr>
          <w:rFonts w:hint="eastAsia" w:ascii="仿宋" w:hAnsi="仿宋" w:eastAsia="仿宋" w:cs="仿宋"/>
        </w:rPr>
      </w:pPr>
    </w:p>
    <w:p w14:paraId="5B2E97B3">
      <w:pPr>
        <w:rPr>
          <w:rFonts w:hint="eastAsia" w:ascii="仿宋" w:hAnsi="仿宋" w:eastAsia="仿宋" w:cs="仿宋"/>
          <w:sz w:val="28"/>
          <w:szCs w:val="28"/>
        </w:rPr>
      </w:pPr>
    </w:p>
    <w:p w14:paraId="2ABC736B">
      <w:pPr>
        <w:rPr>
          <w:rFonts w:hint="eastAsia" w:ascii="仿宋" w:hAnsi="仿宋" w:eastAsia="仿宋" w:cs="仿宋"/>
          <w:sz w:val="28"/>
          <w:szCs w:val="28"/>
        </w:rPr>
      </w:pPr>
      <w:r>
        <w:rPr>
          <w:rFonts w:hint="eastAsia" w:ascii="仿宋" w:hAnsi="仿宋" w:eastAsia="仿宋" w:cs="仿宋"/>
          <w:sz w:val="28"/>
          <w:szCs w:val="28"/>
        </w:rPr>
        <w:br w:type="page"/>
      </w:r>
    </w:p>
    <w:p w14:paraId="14AE4567">
      <w:pPr>
        <w:rPr>
          <w:rFonts w:hint="eastAsia" w:ascii="仿宋" w:hAnsi="仿宋" w:eastAsia="仿宋" w:cs="仿宋"/>
          <w:sz w:val="28"/>
          <w:szCs w:val="28"/>
          <w:lang w:val="en-US"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p>
    <w:p w14:paraId="2B078F2B">
      <w:pPr>
        <w:jc w:val="center"/>
        <w:rPr>
          <w:rFonts w:hint="eastAsia" w:ascii="仿宋" w:hAnsi="仿宋" w:eastAsia="仿宋" w:cs="仿宋"/>
          <w:sz w:val="44"/>
          <w:szCs w:val="44"/>
          <w:u w:val="single"/>
        </w:rPr>
      </w:pPr>
    </w:p>
    <w:p w14:paraId="269ACA4C">
      <w:pPr>
        <w:jc w:val="center"/>
        <w:rPr>
          <w:rFonts w:hint="eastAsia" w:ascii="仿宋" w:hAnsi="仿宋" w:eastAsia="仿宋" w:cs="仿宋"/>
          <w:sz w:val="72"/>
          <w:szCs w:val="72"/>
        </w:rPr>
      </w:pPr>
      <w:r>
        <w:rPr>
          <w:rFonts w:hint="eastAsia" w:ascii="仿宋" w:hAnsi="仿宋" w:eastAsia="仿宋" w:cs="仿宋"/>
          <w:sz w:val="72"/>
          <w:szCs w:val="72"/>
        </w:rPr>
        <w:t>政府采购项目</w:t>
      </w:r>
    </w:p>
    <w:p w14:paraId="7C139E6E">
      <w:pPr>
        <w:jc w:val="center"/>
        <w:rPr>
          <w:rFonts w:hint="eastAsia" w:ascii="仿宋" w:hAnsi="仿宋" w:eastAsia="仿宋" w:cs="仿宋"/>
          <w:sz w:val="72"/>
          <w:szCs w:val="72"/>
        </w:rPr>
      </w:pPr>
      <w:r>
        <w:rPr>
          <w:rFonts w:hint="eastAsia" w:ascii="仿宋" w:hAnsi="仿宋" w:eastAsia="仿宋" w:cs="仿宋"/>
          <w:sz w:val="72"/>
          <w:szCs w:val="72"/>
        </w:rPr>
        <w:t>采购实施计划</w:t>
      </w:r>
    </w:p>
    <w:p w14:paraId="40D06BE0">
      <w:pPr>
        <w:jc w:val="center"/>
        <w:rPr>
          <w:rFonts w:hint="eastAsia" w:ascii="仿宋" w:hAnsi="仿宋" w:eastAsia="仿宋" w:cs="仿宋"/>
          <w:sz w:val="44"/>
          <w:szCs w:val="44"/>
        </w:rPr>
      </w:pPr>
    </w:p>
    <w:p w14:paraId="07969A06">
      <w:pPr>
        <w:ind w:left="3360" w:leftChars="450" w:hanging="1920" w:hangingChars="600"/>
        <w:rPr>
          <w:rFonts w:hint="eastAsia" w:ascii="仿宋" w:hAnsi="仿宋" w:eastAsia="仿宋" w:cs="仿宋"/>
          <w:sz w:val="32"/>
          <w:szCs w:val="32"/>
          <w:lang w:val="en-US" w:eastAsia="zh-CN"/>
        </w:rPr>
      </w:pPr>
      <w:r>
        <w:rPr>
          <w:rFonts w:hint="eastAsia" w:ascii="仿宋" w:hAnsi="仿宋" w:eastAsia="仿宋" w:cs="仿宋"/>
          <w:sz w:val="32"/>
          <w:szCs w:val="32"/>
        </w:rPr>
        <w:t xml:space="preserve">项目名称： </w:t>
      </w:r>
      <w:r>
        <w:rPr>
          <w:rFonts w:hint="eastAsia" w:ascii="仿宋" w:hAnsi="仿宋" w:eastAsia="仿宋" w:cs="仿宋"/>
          <w:sz w:val="32"/>
          <w:szCs w:val="32"/>
          <w:u w:val="single"/>
        </w:rPr>
        <w:t xml:space="preserve">广东省深圳市宝安区消防救援大队2026年二级站、小分队正规化建设项目（施工）采购项目 </w:t>
      </w:r>
      <w:r>
        <w:rPr>
          <w:rFonts w:hint="eastAsia" w:ascii="仿宋" w:hAnsi="仿宋" w:eastAsia="仿宋" w:cs="仿宋"/>
          <w:sz w:val="32"/>
          <w:szCs w:val="32"/>
          <w:u w:val="single"/>
          <w:lang w:val="en-US" w:eastAsia="zh-CN"/>
        </w:rPr>
        <w:t xml:space="preserve"> </w:t>
      </w:r>
    </w:p>
    <w:p w14:paraId="5F41E8A4">
      <w:pPr>
        <w:ind w:firstLine="1440" w:firstLineChars="450"/>
        <w:rPr>
          <w:rFonts w:hint="eastAsia" w:ascii="仿宋" w:hAnsi="仿宋" w:eastAsia="仿宋" w:cs="仿宋"/>
          <w:sz w:val="32"/>
          <w:szCs w:val="32"/>
          <w:lang w:val="en-US" w:eastAsia="zh-CN"/>
        </w:rPr>
      </w:pPr>
      <w:r>
        <w:rPr>
          <w:rFonts w:hint="eastAsia" w:ascii="仿宋" w:hAnsi="仿宋" w:eastAsia="仿宋" w:cs="仿宋"/>
          <w:sz w:val="32"/>
          <w:szCs w:val="32"/>
        </w:rPr>
        <w:t xml:space="preserve">采购单位：  </w:t>
      </w:r>
      <w:r>
        <w:rPr>
          <w:rFonts w:hint="eastAsia" w:ascii="仿宋" w:hAnsi="仿宋" w:eastAsia="仿宋" w:cs="仿宋"/>
          <w:sz w:val="32"/>
          <w:szCs w:val="32"/>
          <w:u w:val="single"/>
        </w:rPr>
        <w:t xml:space="preserve">深圳市宝安区消防救援大队 </w:t>
      </w:r>
      <w:r>
        <w:rPr>
          <w:rFonts w:hint="eastAsia" w:ascii="仿宋" w:hAnsi="仿宋" w:eastAsia="仿宋" w:cs="仿宋"/>
          <w:sz w:val="32"/>
          <w:szCs w:val="32"/>
          <w:u w:val="single"/>
          <w:lang w:val="en-US" w:eastAsia="zh-CN"/>
        </w:rPr>
        <w:t xml:space="preserve"> </w:t>
      </w:r>
    </w:p>
    <w:p w14:paraId="0BE68455">
      <w:pPr>
        <w:ind w:firstLine="1440" w:firstLineChars="450"/>
        <w:rPr>
          <w:rFonts w:hint="eastAsia" w:ascii="仿宋" w:hAnsi="仿宋" w:eastAsia="仿宋" w:cs="仿宋"/>
          <w:sz w:val="32"/>
          <w:szCs w:val="32"/>
          <w:lang w:val="en-US" w:eastAsia="zh-CN"/>
        </w:rPr>
      </w:pPr>
      <w:r>
        <w:rPr>
          <w:rFonts w:hint="eastAsia" w:ascii="仿宋" w:hAnsi="仿宋" w:eastAsia="仿宋" w:cs="仿宋"/>
          <w:sz w:val="32"/>
          <w:szCs w:val="32"/>
        </w:rPr>
        <w:t xml:space="preserve">编制单位：  </w:t>
      </w:r>
      <w:r>
        <w:rPr>
          <w:rFonts w:hint="eastAsia" w:ascii="仿宋" w:hAnsi="仿宋" w:eastAsia="仿宋" w:cs="仿宋"/>
          <w:sz w:val="32"/>
          <w:szCs w:val="32"/>
          <w:u w:val="single"/>
        </w:rPr>
        <w:t xml:space="preserve">深圳市宝安区消防救援大队 </w:t>
      </w:r>
      <w:r>
        <w:rPr>
          <w:rFonts w:hint="eastAsia" w:ascii="仿宋" w:hAnsi="仿宋" w:eastAsia="仿宋" w:cs="仿宋"/>
          <w:sz w:val="32"/>
          <w:szCs w:val="32"/>
          <w:u w:val="single"/>
          <w:lang w:val="en-US" w:eastAsia="zh-CN"/>
        </w:rPr>
        <w:t xml:space="preserve"> </w:t>
      </w:r>
    </w:p>
    <w:p w14:paraId="62D1C635">
      <w:pPr>
        <w:ind w:firstLine="1440" w:firstLineChars="450"/>
        <w:rPr>
          <w:rFonts w:hint="eastAsia" w:ascii="仿宋" w:hAnsi="仿宋" w:eastAsia="仿宋" w:cs="仿宋"/>
          <w:sz w:val="32"/>
          <w:szCs w:val="32"/>
        </w:rPr>
      </w:pPr>
      <w:r>
        <w:rPr>
          <w:rFonts w:hint="eastAsia" w:ascii="仿宋" w:hAnsi="仿宋" w:eastAsia="仿宋" w:cs="仿宋"/>
          <w:sz w:val="32"/>
          <w:szCs w:val="32"/>
        </w:rPr>
        <w:t xml:space="preserve">编制时间：  </w:t>
      </w:r>
      <w:r>
        <w:rPr>
          <w:rFonts w:hint="eastAsia" w:ascii="仿宋" w:hAnsi="仿宋" w:eastAsia="仿宋" w:cs="仿宋"/>
          <w:sz w:val="32"/>
          <w:szCs w:val="32"/>
          <w:u w:val="single"/>
        </w:rPr>
        <w:t>2026年</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xml:space="preserve">   </w:t>
      </w:r>
    </w:p>
    <w:p w14:paraId="14BDA409">
      <w:pPr>
        <w:rPr>
          <w:rFonts w:hint="eastAsia" w:ascii="仿宋" w:hAnsi="仿宋" w:eastAsia="仿宋" w:cs="仿宋"/>
          <w:sz w:val="44"/>
          <w:szCs w:val="44"/>
        </w:rPr>
      </w:pPr>
    </w:p>
    <w:p w14:paraId="2C27F0F0">
      <w:pPr>
        <w:rPr>
          <w:rFonts w:hint="eastAsia" w:ascii="仿宋" w:hAnsi="仿宋" w:eastAsia="仿宋" w:cs="仿宋"/>
          <w:sz w:val="44"/>
          <w:szCs w:val="44"/>
        </w:rPr>
        <w:sectPr>
          <w:pgSz w:w="11906" w:h="16838"/>
          <w:pgMar w:top="1440" w:right="1800" w:bottom="1440" w:left="1800" w:header="851" w:footer="992" w:gutter="0"/>
          <w:pgNumType w:fmt="decimal"/>
          <w:cols w:space="425" w:num="1"/>
          <w:docGrid w:type="lines" w:linePitch="312" w:charSpace="0"/>
        </w:sectPr>
      </w:pPr>
    </w:p>
    <w:p w14:paraId="04D7BBE3">
      <w:pPr>
        <w:jc w:val="center"/>
        <w:rPr>
          <w:rFonts w:hint="eastAsia" w:ascii="仿宋" w:hAnsi="仿宋" w:eastAsia="仿宋" w:cs="仿宋"/>
          <w:sz w:val="44"/>
          <w:szCs w:val="44"/>
        </w:rPr>
      </w:pPr>
      <w:r>
        <w:rPr>
          <w:rFonts w:hint="eastAsia" w:ascii="仿宋" w:hAnsi="仿宋" w:eastAsia="仿宋" w:cs="仿宋"/>
          <w:sz w:val="44"/>
          <w:szCs w:val="44"/>
        </w:rPr>
        <w:t>编 制 说 明</w:t>
      </w:r>
    </w:p>
    <w:p w14:paraId="2A6ADC2C">
      <w:pPr>
        <w:spacing w:line="560" w:lineRule="exact"/>
        <w:ind w:firstLine="640" w:firstLineChars="200"/>
        <w:rPr>
          <w:rFonts w:hint="eastAsia" w:ascii="仿宋" w:hAnsi="仿宋" w:eastAsia="仿宋" w:cs="仿宋"/>
          <w:sz w:val="32"/>
          <w:szCs w:val="32"/>
        </w:rPr>
      </w:pPr>
    </w:p>
    <w:p w14:paraId="11D7AED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一、采购单位可以自行组织编制采购实施计划，也可以委托采购代理机构或者其他第三方机构编制。</w:t>
      </w:r>
    </w:p>
    <w:p w14:paraId="799E913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二、编制的采购实施计划应当符合《财政部关于印发政府采购需求管理办法的通知》（财库〔2021〕22号）要求及政府采购的相关规定。</w:t>
      </w:r>
    </w:p>
    <w:p w14:paraId="339C3A3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三、斜体字部分属于提醒内容，编制时应删除。</w:t>
      </w:r>
    </w:p>
    <w:p w14:paraId="30575CA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四、对不适用的内容应删除，并调整相应序号。</w:t>
      </w:r>
    </w:p>
    <w:p w14:paraId="376D17B0">
      <w:pPr>
        <w:spacing w:line="560" w:lineRule="exact"/>
        <w:rPr>
          <w:rFonts w:hint="eastAsia" w:ascii="仿宋" w:hAnsi="仿宋" w:eastAsia="仿宋" w:cs="仿宋"/>
          <w:sz w:val="32"/>
          <w:szCs w:val="32"/>
        </w:rPr>
        <w:sectPr>
          <w:footerReference r:id="rId6" w:type="default"/>
          <w:pgSz w:w="11906" w:h="16838"/>
          <w:pgMar w:top="1440" w:right="1800" w:bottom="1440" w:left="1800" w:header="851" w:footer="992" w:gutter="0"/>
          <w:pgNumType w:fmt="decimal"/>
          <w:cols w:space="425" w:num="1"/>
          <w:docGrid w:type="lines" w:linePitch="312" w:charSpace="0"/>
        </w:sectPr>
      </w:pPr>
    </w:p>
    <w:bookmarkEnd w:id="0"/>
    <w:p w14:paraId="2B6EF98A">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一、合同订立安排</w:t>
      </w:r>
    </w:p>
    <w:p w14:paraId="6F888E9C">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（一）开展采购活动的时间安排</w:t>
      </w:r>
    </w:p>
    <w:p w14:paraId="17E93121">
      <w:pPr>
        <w:spacing w:line="560" w:lineRule="exact"/>
        <w:ind w:firstLine="480" w:firstLineChars="200"/>
        <w:jc w:val="left"/>
        <w:rPr>
          <w:rFonts w:hint="eastAsia" w:ascii="仿宋" w:hAnsi="仿宋" w:eastAsia="仿宋" w:cs="仿宋"/>
          <w:i w:val="0"/>
          <w:iCs/>
          <w:sz w:val="24"/>
          <w:szCs w:val="24"/>
          <w:u w:val="single"/>
        </w:rPr>
      </w:pPr>
      <w:r>
        <w:rPr>
          <w:rFonts w:hint="eastAsia" w:ascii="仿宋" w:hAnsi="仿宋" w:eastAsia="仿宋" w:cs="仿宋"/>
          <w:i w:val="0"/>
          <w:iCs/>
          <w:sz w:val="24"/>
          <w:szCs w:val="24"/>
          <w:u w:val="single"/>
        </w:rPr>
        <w:t>预计2026年</w:t>
      </w:r>
      <w:r>
        <w:rPr>
          <w:rFonts w:hint="eastAsia" w:ascii="仿宋" w:hAnsi="仿宋" w:eastAsia="仿宋" w:cs="仿宋"/>
          <w:i w:val="0"/>
          <w:iCs/>
          <w:sz w:val="24"/>
          <w:szCs w:val="24"/>
          <w:u w:val="single"/>
          <w:lang w:val="en-US" w:eastAsia="zh-CN"/>
        </w:rPr>
        <w:t>6</w:t>
      </w:r>
      <w:r>
        <w:rPr>
          <w:rFonts w:hint="eastAsia" w:ascii="仿宋" w:hAnsi="仿宋" w:eastAsia="仿宋" w:cs="仿宋"/>
          <w:i w:val="0"/>
          <w:iCs/>
          <w:sz w:val="24"/>
          <w:szCs w:val="24"/>
          <w:u w:val="single"/>
        </w:rPr>
        <w:t>月实施项目招投标工作</w:t>
      </w:r>
    </w:p>
    <w:p w14:paraId="6DD5A0B4">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（二）采购组织形式</w:t>
      </w:r>
    </w:p>
    <w:p w14:paraId="6EF402DC">
      <w:pPr>
        <w:spacing w:line="560" w:lineRule="exact"/>
        <w:ind w:firstLine="480" w:firstLineChars="200"/>
        <w:jc w:val="left"/>
        <w:rPr>
          <w:rFonts w:hint="eastAsia" w:ascii="仿宋" w:hAnsi="仿宋" w:eastAsia="仿宋" w:cs="仿宋"/>
          <w:i/>
          <w:sz w:val="24"/>
          <w:szCs w:val="24"/>
          <w:u w:val="single"/>
          <w:lang w:val="en-US" w:eastAsia="zh-CN"/>
        </w:rPr>
      </w:pPr>
      <w:r>
        <w:rPr>
          <w:rFonts w:hint="eastAsia" w:ascii="仿宋" w:hAnsi="仿宋" w:eastAsia="仿宋" w:cs="仿宋"/>
          <w:i w:val="0"/>
          <w:iCs/>
          <w:sz w:val="24"/>
          <w:szCs w:val="24"/>
          <w:u w:val="single"/>
        </w:rPr>
        <w:t>分散采购</w:t>
      </w:r>
      <w:r>
        <w:rPr>
          <w:rFonts w:hint="eastAsia" w:ascii="仿宋" w:hAnsi="仿宋" w:eastAsia="仿宋" w:cs="仿宋"/>
          <w:i w:val="0"/>
          <w:iCs/>
          <w:sz w:val="24"/>
          <w:szCs w:val="24"/>
          <w:u w:val="single"/>
          <w:lang w:val="en-US" w:eastAsia="zh-CN"/>
        </w:rPr>
        <w:t xml:space="preserve"> </w:t>
      </w:r>
    </w:p>
    <w:p w14:paraId="5E5D5ED9">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（三）委托代理安排</w:t>
      </w:r>
    </w:p>
    <w:p w14:paraId="44AC7A9D">
      <w:pPr>
        <w:spacing w:line="560" w:lineRule="exact"/>
        <w:ind w:firstLine="480" w:firstLineChars="200"/>
        <w:jc w:val="left"/>
        <w:rPr>
          <w:rFonts w:hint="eastAsia" w:ascii="仿宋" w:hAnsi="仿宋" w:eastAsia="仿宋" w:cs="仿宋"/>
          <w:i w:val="0"/>
          <w:iCs/>
          <w:sz w:val="24"/>
          <w:szCs w:val="24"/>
          <w:u w:val="single"/>
        </w:rPr>
      </w:pPr>
      <w:r>
        <w:rPr>
          <w:rFonts w:hint="eastAsia" w:ascii="仿宋" w:hAnsi="仿宋" w:eastAsia="仿宋" w:cs="仿宋"/>
          <w:i w:val="0"/>
          <w:iCs/>
          <w:sz w:val="24"/>
          <w:szCs w:val="24"/>
          <w:u w:val="single"/>
          <w:lang w:val="en-US" w:eastAsia="zh-CN"/>
        </w:rPr>
        <w:t>委托</w:t>
      </w:r>
      <w:r>
        <w:rPr>
          <w:rFonts w:hint="eastAsia" w:ascii="仿宋" w:hAnsi="仿宋" w:eastAsia="仿宋" w:cs="仿宋"/>
          <w:i w:val="0"/>
          <w:iCs/>
          <w:sz w:val="24"/>
          <w:szCs w:val="24"/>
          <w:u w:val="single"/>
        </w:rPr>
        <w:t>社会代理机构</w:t>
      </w:r>
    </w:p>
    <w:p w14:paraId="1F1EA94A">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（四）采购项目项目预（概）算及最高限价</w:t>
      </w:r>
    </w:p>
    <w:p w14:paraId="775DF7BC">
      <w:pPr>
        <w:spacing w:line="56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预（概）算：</w:t>
      </w:r>
      <w:r>
        <w:rPr>
          <w:rFonts w:hint="eastAsia" w:ascii="仿宋" w:hAnsi="仿宋" w:eastAsia="仿宋" w:cs="仿宋"/>
          <w:sz w:val="24"/>
          <w:szCs w:val="24"/>
          <w:u w:val="single"/>
        </w:rPr>
        <w:t xml:space="preserve">31819921.18元  </w:t>
      </w:r>
    </w:p>
    <w:p w14:paraId="6AFECBAB">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最高限价： </w:t>
      </w:r>
      <w:r>
        <w:rPr>
          <w:rFonts w:hint="eastAsia" w:ascii="仿宋" w:hAnsi="仿宋" w:eastAsia="仿宋" w:cs="仿宋"/>
          <w:sz w:val="24"/>
          <w:szCs w:val="24"/>
          <w:u w:val="single"/>
        </w:rPr>
        <w:t xml:space="preserve"> 31819921.18元  </w:t>
      </w:r>
    </w:p>
    <w:p w14:paraId="1B84691F">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（五）采购包划分与合同分包</w:t>
      </w:r>
    </w:p>
    <w:p w14:paraId="2B2BFEEB">
      <w:pPr>
        <w:spacing w:line="560" w:lineRule="exact"/>
        <w:ind w:firstLine="480" w:firstLineChars="200"/>
        <w:jc w:val="left"/>
        <w:rPr>
          <w:rFonts w:hint="eastAsia" w:ascii="仿宋" w:hAnsi="仿宋" w:eastAsia="仿宋" w:cs="仿宋"/>
          <w:i/>
          <w:sz w:val="24"/>
          <w:szCs w:val="24"/>
          <w:u w:val="single"/>
        </w:rPr>
      </w:pPr>
      <w:r>
        <w:rPr>
          <w:rFonts w:hint="eastAsia" w:ascii="仿宋" w:hAnsi="仿宋" w:eastAsia="仿宋" w:cs="仿宋"/>
          <w:i/>
          <w:sz w:val="24"/>
          <w:szCs w:val="24"/>
          <w:u w:val="single"/>
        </w:rPr>
        <w:t>应按照有利于采购项目实施的原则，明确采购包或者合同分包要求。</w:t>
      </w:r>
    </w:p>
    <w:tbl>
      <w:tblPr>
        <w:tblStyle w:val="1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65"/>
        <w:gridCol w:w="1843"/>
        <w:gridCol w:w="1417"/>
        <w:gridCol w:w="881"/>
        <w:gridCol w:w="850"/>
        <w:gridCol w:w="922"/>
        <w:gridCol w:w="1857"/>
      </w:tblGrid>
      <w:tr w14:paraId="6E69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2412EC2">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包号</w:t>
            </w:r>
          </w:p>
        </w:tc>
        <w:tc>
          <w:tcPr>
            <w:tcW w:w="765" w:type="dxa"/>
            <w:noWrap w:val="0"/>
            <w:vAlign w:val="center"/>
          </w:tcPr>
          <w:p w14:paraId="01771322">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843" w:type="dxa"/>
            <w:noWrap w:val="0"/>
            <w:vAlign w:val="center"/>
          </w:tcPr>
          <w:p w14:paraId="69EF491D">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标的名称</w:t>
            </w:r>
          </w:p>
        </w:tc>
        <w:tc>
          <w:tcPr>
            <w:tcW w:w="1417" w:type="dxa"/>
            <w:noWrap w:val="0"/>
            <w:vAlign w:val="center"/>
          </w:tcPr>
          <w:p w14:paraId="0C0818ED">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品目</w:t>
            </w:r>
          </w:p>
          <w:p w14:paraId="2C8041F7">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分类编码</w:t>
            </w:r>
          </w:p>
        </w:tc>
        <w:tc>
          <w:tcPr>
            <w:tcW w:w="881" w:type="dxa"/>
            <w:noWrap w:val="0"/>
            <w:vAlign w:val="center"/>
          </w:tcPr>
          <w:p w14:paraId="2AEE794B">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计量</w:t>
            </w:r>
          </w:p>
          <w:p w14:paraId="26C0295C">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850" w:type="dxa"/>
            <w:noWrap w:val="0"/>
            <w:vAlign w:val="center"/>
          </w:tcPr>
          <w:p w14:paraId="730A0341">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数量</w:t>
            </w:r>
          </w:p>
        </w:tc>
        <w:tc>
          <w:tcPr>
            <w:tcW w:w="922" w:type="dxa"/>
            <w:noWrap w:val="0"/>
            <w:vAlign w:val="center"/>
          </w:tcPr>
          <w:p w14:paraId="413AEFD2">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是否</w:t>
            </w:r>
          </w:p>
          <w:p w14:paraId="3C640E2F">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进口</w:t>
            </w:r>
          </w:p>
        </w:tc>
        <w:tc>
          <w:tcPr>
            <w:tcW w:w="1857" w:type="dxa"/>
            <w:noWrap w:val="0"/>
            <w:vAlign w:val="center"/>
          </w:tcPr>
          <w:p w14:paraId="0F10280C">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分包</w:t>
            </w:r>
          </w:p>
          <w:p w14:paraId="07B1B949">
            <w:pPr>
              <w:spacing w:line="560" w:lineRule="exact"/>
              <w:jc w:val="center"/>
              <w:rPr>
                <w:rFonts w:hint="eastAsia" w:ascii="仿宋" w:hAnsi="仿宋" w:eastAsia="仿宋" w:cs="仿宋"/>
                <w:b/>
                <w:sz w:val="24"/>
                <w:szCs w:val="24"/>
              </w:rPr>
            </w:pPr>
            <w:r>
              <w:rPr>
                <w:rFonts w:hint="eastAsia" w:ascii="仿宋" w:hAnsi="仿宋" w:eastAsia="仿宋" w:cs="仿宋"/>
                <w:b/>
                <w:sz w:val="24"/>
                <w:szCs w:val="24"/>
              </w:rPr>
              <w:t>要求</w:t>
            </w:r>
          </w:p>
        </w:tc>
      </w:tr>
      <w:tr w14:paraId="1D34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88EAB28">
            <w:pPr>
              <w:adjustRightInd w:val="0"/>
              <w:snapToGrid w:val="0"/>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65" w:type="dxa"/>
            <w:noWrap w:val="0"/>
            <w:vAlign w:val="center"/>
          </w:tcPr>
          <w:p w14:paraId="0859B30D">
            <w:pPr>
              <w:adjustRightInd w:val="0"/>
              <w:snapToGrid w:val="0"/>
              <w:spacing w:line="560" w:lineRule="exact"/>
              <w:jc w:val="center"/>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1</w:t>
            </w:r>
          </w:p>
        </w:tc>
        <w:tc>
          <w:tcPr>
            <w:tcW w:w="1843" w:type="dxa"/>
            <w:noWrap w:val="0"/>
            <w:vAlign w:val="center"/>
          </w:tcPr>
          <w:p w14:paraId="0E290691">
            <w:pPr>
              <w:adjustRightInd w:val="0"/>
              <w:snapToGrid w:val="0"/>
              <w:spacing w:line="400" w:lineRule="exact"/>
              <w:jc w:val="center"/>
              <w:rPr>
                <w:rFonts w:hint="eastAsia" w:ascii="仿宋" w:hAnsi="仿宋" w:eastAsia="仿宋" w:cs="仿宋"/>
                <w:i w:val="0"/>
                <w:iCs w:val="0"/>
                <w:sz w:val="24"/>
                <w:szCs w:val="24"/>
                <w:u w:val="single"/>
              </w:rPr>
            </w:pPr>
            <w:r>
              <w:rPr>
                <w:rFonts w:hint="eastAsia" w:ascii="仿宋" w:hAnsi="仿宋" w:eastAsia="仿宋" w:cs="仿宋"/>
                <w:i w:val="0"/>
                <w:iCs w:val="0"/>
                <w:sz w:val="24"/>
                <w:szCs w:val="24"/>
                <w:u w:val="single"/>
              </w:rPr>
              <w:t>广东省深圳市宝安区消防救援大队2026年二级站、小分队正规化改造项目（施工）采购项目</w:t>
            </w:r>
          </w:p>
        </w:tc>
        <w:tc>
          <w:tcPr>
            <w:tcW w:w="1417" w:type="dxa"/>
            <w:noWrap w:val="0"/>
            <w:vAlign w:val="center"/>
          </w:tcPr>
          <w:p w14:paraId="09B01FBF">
            <w:pPr>
              <w:adjustRightInd w:val="0"/>
              <w:snapToGrid w:val="0"/>
              <w:spacing w:line="560" w:lineRule="exact"/>
              <w:jc w:val="center"/>
              <w:rPr>
                <w:rFonts w:hint="eastAsia" w:ascii="仿宋" w:hAnsi="仿宋" w:eastAsia="仿宋" w:cs="仿宋"/>
                <w:i w:val="0"/>
                <w:iCs w:val="0"/>
                <w:sz w:val="24"/>
                <w:szCs w:val="24"/>
              </w:rPr>
            </w:pPr>
            <w:r>
              <w:rPr>
                <w:rFonts w:hint="eastAsia" w:ascii="仿宋" w:hAnsi="仿宋" w:eastAsia="仿宋" w:cs="仿宋"/>
                <w:i w:val="0"/>
                <w:iCs w:val="0"/>
                <w:sz w:val="24"/>
                <w:szCs w:val="24"/>
              </w:rPr>
              <w:t>B07</w:t>
            </w:r>
          </w:p>
        </w:tc>
        <w:tc>
          <w:tcPr>
            <w:tcW w:w="881" w:type="dxa"/>
            <w:noWrap w:val="0"/>
            <w:vAlign w:val="center"/>
          </w:tcPr>
          <w:p w14:paraId="59A26C0C">
            <w:pPr>
              <w:adjustRightInd w:val="0"/>
              <w:snapToGrid w:val="0"/>
              <w:spacing w:line="560" w:lineRule="exact"/>
              <w:jc w:val="center"/>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项</w:t>
            </w:r>
          </w:p>
        </w:tc>
        <w:tc>
          <w:tcPr>
            <w:tcW w:w="850" w:type="dxa"/>
            <w:noWrap w:val="0"/>
            <w:vAlign w:val="center"/>
          </w:tcPr>
          <w:p w14:paraId="4239809E">
            <w:pPr>
              <w:adjustRightInd w:val="0"/>
              <w:snapToGrid w:val="0"/>
              <w:spacing w:line="560" w:lineRule="exact"/>
              <w:jc w:val="center"/>
              <w:rPr>
                <w:rFonts w:hint="eastAsia" w:ascii="仿宋" w:hAnsi="仿宋" w:eastAsia="仿宋" w:cs="仿宋"/>
                <w:i w:val="0"/>
                <w:iCs w:val="0"/>
                <w:sz w:val="24"/>
                <w:szCs w:val="24"/>
                <w:lang w:val="en-US" w:eastAsia="zh-CN"/>
              </w:rPr>
            </w:pPr>
            <w:r>
              <w:rPr>
                <w:rFonts w:hint="eastAsia" w:ascii="仿宋" w:hAnsi="仿宋" w:eastAsia="仿宋" w:cs="仿宋"/>
                <w:i w:val="0"/>
                <w:iCs w:val="0"/>
                <w:sz w:val="24"/>
                <w:szCs w:val="24"/>
                <w:lang w:val="en-US" w:eastAsia="zh-CN"/>
              </w:rPr>
              <w:t>1</w:t>
            </w:r>
          </w:p>
        </w:tc>
        <w:tc>
          <w:tcPr>
            <w:tcW w:w="922" w:type="dxa"/>
            <w:noWrap w:val="0"/>
            <w:vAlign w:val="center"/>
          </w:tcPr>
          <w:p w14:paraId="2411BAF8">
            <w:pPr>
              <w:adjustRightInd w:val="0"/>
              <w:snapToGrid w:val="0"/>
              <w:spacing w:line="560" w:lineRule="exact"/>
              <w:jc w:val="center"/>
              <w:rPr>
                <w:rFonts w:hint="eastAsia" w:ascii="仿宋" w:hAnsi="仿宋" w:eastAsia="仿宋" w:cs="仿宋"/>
                <w:i w:val="0"/>
                <w:iCs w:val="0"/>
                <w:sz w:val="24"/>
                <w:szCs w:val="24"/>
                <w:lang w:eastAsia="zh-CN"/>
              </w:rPr>
            </w:pPr>
            <w:r>
              <w:rPr>
                <w:rFonts w:hint="eastAsia" w:ascii="仿宋" w:hAnsi="仿宋" w:eastAsia="仿宋" w:cs="仿宋"/>
                <w:i w:val="0"/>
                <w:iCs w:val="0"/>
                <w:sz w:val="24"/>
                <w:szCs w:val="24"/>
                <w:lang w:val="en-US" w:eastAsia="zh-CN"/>
              </w:rPr>
              <w:t>否</w:t>
            </w:r>
          </w:p>
        </w:tc>
        <w:tc>
          <w:tcPr>
            <w:tcW w:w="1857" w:type="dxa"/>
            <w:noWrap w:val="0"/>
            <w:vAlign w:val="center"/>
          </w:tcPr>
          <w:p w14:paraId="27F9A902">
            <w:pPr>
              <w:adjustRightInd w:val="0"/>
              <w:snapToGrid w:val="0"/>
              <w:spacing w:line="560" w:lineRule="exact"/>
              <w:jc w:val="center"/>
              <w:rPr>
                <w:rFonts w:hint="eastAsia" w:ascii="仿宋" w:hAnsi="仿宋" w:eastAsia="仿宋" w:cs="仿宋"/>
                <w:i w:val="0"/>
                <w:iCs w:val="0"/>
                <w:sz w:val="24"/>
                <w:szCs w:val="24"/>
                <w:lang w:eastAsia="zh-CN"/>
              </w:rPr>
            </w:pPr>
            <w:r>
              <w:rPr>
                <w:rFonts w:hint="eastAsia" w:ascii="仿宋" w:hAnsi="仿宋" w:eastAsia="仿宋" w:cs="仿宋"/>
                <w:i w:val="0"/>
                <w:iCs w:val="0"/>
                <w:sz w:val="24"/>
                <w:szCs w:val="24"/>
                <w:u w:val="single"/>
                <w:lang w:val="en-US" w:eastAsia="zh-CN"/>
              </w:rPr>
              <w:t>不得分包</w:t>
            </w:r>
          </w:p>
        </w:tc>
      </w:tr>
    </w:tbl>
    <w:p w14:paraId="4965AD9E">
      <w:pPr>
        <w:keepNext w:val="0"/>
        <w:keepLines w:val="0"/>
        <w:pageBreakBefore w:val="0"/>
        <w:numPr>
          <w:ilvl w:val="0"/>
          <w:numId w:val="1"/>
        </w:numPr>
        <w:kinsoku/>
        <w:wordWrap/>
        <w:topLinePunct w:val="0"/>
        <w:bidi w:val="0"/>
        <w:snapToGrid/>
        <w:spacing w:line="240" w:lineRule="auto"/>
        <w:ind w:left="420" w:leftChars="0" w:hanging="420" w:firstLineChars="0"/>
        <w:jc w:val="lef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政策扶持</w:t>
      </w:r>
    </w:p>
    <w:p w14:paraId="36AFC9B7">
      <w:pPr>
        <w:keepNext w:val="0"/>
        <w:keepLines w:val="0"/>
        <w:pageBreakBefore w:val="0"/>
        <w:numPr>
          <w:ilvl w:val="0"/>
          <w:numId w:val="0"/>
        </w:numPr>
        <w:kinsoku/>
        <w:wordWrap/>
        <w:topLinePunct w:val="0"/>
        <w:bidi w:val="0"/>
        <w:snapToGrid/>
        <w:spacing w:line="24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1、计划</w:t>
      </w:r>
      <w:r>
        <w:rPr>
          <w:rFonts w:hint="eastAsia" w:ascii="仿宋" w:hAnsi="仿宋" w:eastAsia="仿宋" w:cs="仿宋"/>
          <w:b/>
          <w:bCs/>
          <w:sz w:val="24"/>
          <w:szCs w:val="24"/>
        </w:rPr>
        <w:t>是否</w:t>
      </w:r>
      <w:r>
        <w:rPr>
          <w:rFonts w:hint="eastAsia" w:ascii="仿宋" w:hAnsi="仿宋" w:eastAsia="仿宋" w:cs="仿宋"/>
          <w:b/>
          <w:bCs/>
          <w:sz w:val="24"/>
          <w:szCs w:val="24"/>
          <w:lang w:eastAsia="zh-CN"/>
        </w:rPr>
        <w:t>专门</w:t>
      </w:r>
      <w:r>
        <w:rPr>
          <w:rFonts w:hint="eastAsia" w:ascii="仿宋" w:hAnsi="仿宋" w:eastAsia="仿宋" w:cs="仿宋"/>
          <w:b/>
          <w:bCs/>
          <w:sz w:val="24"/>
          <w:szCs w:val="24"/>
        </w:rPr>
        <w:t>面向中小企业采购：</w:t>
      </w:r>
    </w:p>
    <w:p w14:paraId="0943B914">
      <w:pPr>
        <w:keepNext w:val="0"/>
        <w:keepLines w:val="0"/>
        <w:pageBreakBefore w:val="0"/>
        <w:kinsoku/>
        <w:wordWrap/>
        <w:topLinePunct w:val="0"/>
        <w:bidi w:val="0"/>
        <w:snapToGrid/>
        <w:spacing w:line="240" w:lineRule="auto"/>
        <w:rPr>
          <w:rFonts w:hint="eastAsia" w:ascii="仿宋" w:hAnsi="仿宋" w:eastAsia="仿宋" w:cs="仿宋"/>
          <w:b w:val="0"/>
          <w:bCs w:val="0"/>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是：</w:t>
      </w:r>
      <w:r>
        <w:rPr>
          <w:rFonts w:hint="eastAsia" w:ascii="仿宋" w:hAnsi="仿宋" w:eastAsia="仿宋" w:cs="仿宋"/>
          <w:b w:val="0"/>
          <w:bCs w:val="0"/>
          <w:sz w:val="24"/>
          <w:szCs w:val="24"/>
        </w:rPr>
        <w:t>整体</w:t>
      </w:r>
      <w:r>
        <w:rPr>
          <w:rFonts w:hint="eastAsia" w:ascii="仿宋" w:hAnsi="仿宋" w:eastAsia="仿宋" w:cs="仿宋"/>
          <w:b w:val="0"/>
          <w:bCs w:val="0"/>
          <w:sz w:val="24"/>
          <w:szCs w:val="24"/>
          <w:lang w:eastAsia="zh-CN"/>
        </w:rPr>
        <w:t>专门</w:t>
      </w:r>
      <w:r>
        <w:rPr>
          <w:rFonts w:hint="eastAsia" w:ascii="仿宋" w:hAnsi="仿宋" w:eastAsia="仿宋" w:cs="仿宋"/>
          <w:b w:val="0"/>
          <w:bCs w:val="0"/>
          <w:sz w:val="24"/>
          <w:szCs w:val="24"/>
        </w:rPr>
        <w:t>面向中小企业采购</w:t>
      </w:r>
      <w:r>
        <w:rPr>
          <w:rFonts w:hint="eastAsia" w:ascii="仿宋" w:hAnsi="仿宋" w:eastAsia="仿宋" w:cs="仿宋"/>
          <w:b w:val="0"/>
          <w:bCs w:val="0"/>
          <w:sz w:val="24"/>
          <w:szCs w:val="24"/>
          <w:lang w:eastAsia="zh-CN"/>
        </w:rPr>
        <w:t>（即</w:t>
      </w:r>
      <w:r>
        <w:rPr>
          <w:rFonts w:hint="eastAsia" w:ascii="仿宋" w:hAnsi="仿宋" w:eastAsia="仿宋" w:cs="仿宋"/>
          <w:b w:val="0"/>
          <w:bCs w:val="0"/>
          <w:sz w:val="24"/>
          <w:szCs w:val="24"/>
          <w:lang w:val="en-US" w:eastAsia="zh-CN"/>
        </w:rPr>
        <w:t>100%</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 xml:space="preserve">  </w:t>
      </w:r>
    </w:p>
    <w:p w14:paraId="091845FC">
      <w:pPr>
        <w:keepNext w:val="0"/>
        <w:keepLines w:val="0"/>
        <w:pageBreakBefore w:val="0"/>
        <w:kinsoku/>
        <w:wordWrap/>
        <w:topLinePunct w:val="0"/>
        <w:bidi w:val="0"/>
        <w:snapToGrid/>
        <w:spacing w:line="240" w:lineRule="auto"/>
        <w:rPr>
          <w:rFonts w:hint="eastAsia" w:ascii="仿宋" w:hAnsi="仿宋" w:eastAsia="仿宋" w:cs="仿宋"/>
          <w:b w:val="0"/>
          <w:bCs w:val="0"/>
          <w:color w:val="auto"/>
          <w:sz w:val="24"/>
          <w:szCs w:val="24"/>
          <w:lang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sym w:font="Wingdings 2" w:char="00A3"/>
      </w:r>
      <w:r>
        <w:rPr>
          <w:rFonts w:hint="eastAsia" w:ascii="仿宋" w:hAnsi="仿宋" w:eastAsia="仿宋" w:cs="仿宋"/>
          <w:b/>
          <w:bCs/>
          <w:sz w:val="24"/>
          <w:szCs w:val="24"/>
          <w:lang w:val="en-US" w:eastAsia="zh-CN"/>
        </w:rPr>
        <w:t>否：</w:t>
      </w:r>
      <w:r>
        <w:rPr>
          <w:rFonts w:hint="eastAsia" w:ascii="仿宋" w:hAnsi="仿宋" w:eastAsia="仿宋" w:cs="仿宋"/>
          <w:b w:val="0"/>
          <w:bCs w:val="0"/>
          <w:sz w:val="24"/>
          <w:szCs w:val="24"/>
        </w:rPr>
        <w:t>预留预算总额的</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（货物类、服务类项目不低于30%，工程类项目不低于40%，由需求单位根据实际情况填写）</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专门面向中小企业采购(</w:t>
      </w:r>
      <w:r>
        <w:rPr>
          <w:rFonts w:hint="eastAsia" w:ascii="仿宋" w:hAnsi="仿宋" w:eastAsia="仿宋" w:cs="仿宋"/>
          <w:b w:val="0"/>
          <w:bCs w:val="0"/>
          <w:color w:val="auto"/>
          <w:sz w:val="24"/>
          <w:szCs w:val="24"/>
          <w:lang w:eastAsia="zh-CN"/>
        </w:rPr>
        <w:t>以下</w:t>
      </w:r>
      <w:r>
        <w:rPr>
          <w:rFonts w:hint="eastAsia" w:ascii="仿宋" w:hAnsi="仿宋" w:eastAsia="仿宋" w:cs="仿宋"/>
          <w:b w:val="0"/>
          <w:bCs w:val="0"/>
          <w:color w:val="auto"/>
          <w:sz w:val="24"/>
          <w:szCs w:val="24"/>
        </w:rPr>
        <w:t>三选一)</w:t>
      </w:r>
      <w:r>
        <w:rPr>
          <w:rFonts w:hint="eastAsia" w:ascii="仿宋" w:hAnsi="仿宋" w:eastAsia="仿宋" w:cs="仿宋"/>
          <w:b w:val="0"/>
          <w:bCs w:val="0"/>
          <w:color w:val="auto"/>
          <w:sz w:val="24"/>
          <w:szCs w:val="24"/>
          <w:lang w:eastAsia="zh-CN"/>
        </w:rPr>
        <w:t>：</w:t>
      </w:r>
    </w:p>
    <w:p w14:paraId="2B0EE440">
      <w:pPr>
        <w:pStyle w:val="14"/>
        <w:keepNext w:val="0"/>
        <w:keepLines w:val="0"/>
        <w:pageBreakBefore w:val="0"/>
        <w:widowControl/>
        <w:kinsoku/>
        <w:wordWrap/>
        <w:topLinePunct w:val="0"/>
        <w:bidi w:val="0"/>
        <w:snapToGrid/>
        <w:spacing w:beforeAutospacing="0" w:afterAutospacing="0" w:line="240" w:lineRule="auto"/>
        <w:ind w:firstLine="420"/>
        <w:textAlignment w:val="baseline"/>
        <w:rPr>
          <w:rFonts w:hint="eastAsia" w:ascii="仿宋" w:hAnsi="仿宋" w:eastAsia="仿宋" w:cs="仿宋"/>
          <w:b w:val="0"/>
          <w:bCs w:val="0"/>
          <w:sz w:val="24"/>
          <w:szCs w:val="24"/>
          <w:shd w:val="clear" w:color="auto" w:fill="FFFFFF"/>
        </w:rPr>
      </w:pPr>
      <w:r>
        <w:rPr>
          <w:rFonts w:hint="eastAsia" w:ascii="仿宋" w:hAnsi="仿宋" w:eastAsia="仿宋" w:cs="仿宋"/>
          <w:b w:val="0"/>
          <w:bCs w:val="0"/>
          <w:sz w:val="24"/>
          <w:szCs w:val="24"/>
          <w:shd w:val="clear" w:color="auto" w:fill="FFFFFF"/>
          <w:lang w:val="en-US" w:eastAsia="zh-CN"/>
        </w:rPr>
        <w:t>①</w:t>
      </w:r>
      <w:r>
        <w:rPr>
          <w:rFonts w:hint="eastAsia" w:ascii="仿宋" w:hAnsi="仿宋" w:eastAsia="仿宋" w:cs="仿宋"/>
          <w:b w:val="0"/>
          <w:bCs w:val="0"/>
          <w:sz w:val="24"/>
          <w:szCs w:val="24"/>
          <w:shd w:val="clear" w:color="auto" w:fill="FFFFFF"/>
        </w:rPr>
        <w:t>采购项目整体或者设置采购包专门面向中小企业采购；</w:t>
      </w:r>
    </w:p>
    <w:p w14:paraId="5803D936">
      <w:pPr>
        <w:pStyle w:val="14"/>
        <w:keepNext w:val="0"/>
        <w:keepLines w:val="0"/>
        <w:pageBreakBefore w:val="0"/>
        <w:widowControl/>
        <w:kinsoku/>
        <w:wordWrap/>
        <w:topLinePunct w:val="0"/>
        <w:bidi w:val="0"/>
        <w:snapToGrid/>
        <w:spacing w:beforeAutospacing="0" w:afterAutospacing="0" w:line="240" w:lineRule="auto"/>
        <w:ind w:firstLine="420"/>
        <w:textAlignment w:val="baseline"/>
        <w:rPr>
          <w:rFonts w:hint="eastAsia" w:ascii="仿宋" w:hAnsi="仿宋" w:eastAsia="仿宋" w:cs="仿宋"/>
          <w:b w:val="0"/>
          <w:bCs w:val="0"/>
          <w:sz w:val="24"/>
          <w:szCs w:val="24"/>
          <w:shd w:val="clear" w:color="auto" w:fill="FFFFFF"/>
        </w:rPr>
      </w:pPr>
      <w:r>
        <w:rPr>
          <w:rFonts w:hint="eastAsia" w:ascii="仿宋" w:hAnsi="仿宋" w:eastAsia="仿宋" w:cs="仿宋"/>
          <w:b w:val="0"/>
          <w:bCs w:val="0"/>
          <w:sz w:val="24"/>
          <w:szCs w:val="24"/>
          <w:shd w:val="clear" w:color="auto" w:fill="FFFFFF"/>
          <w:lang w:val="en-US" w:eastAsia="zh-CN"/>
        </w:rPr>
        <w:t>②</w:t>
      </w:r>
      <w:r>
        <w:rPr>
          <w:rFonts w:hint="eastAsia" w:ascii="仿宋" w:hAnsi="仿宋" w:eastAsia="仿宋" w:cs="仿宋"/>
          <w:b w:val="0"/>
          <w:bCs w:val="0"/>
          <w:sz w:val="24"/>
          <w:szCs w:val="24"/>
          <w:shd w:val="clear" w:color="auto" w:fill="FFFFFF"/>
        </w:rPr>
        <w:t>供应商以联合体形式参加采购活动，联合体中中小企业承担预算总额的</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w:t>
      </w:r>
      <w:r>
        <w:rPr>
          <w:rFonts w:hint="eastAsia" w:ascii="仿宋" w:hAnsi="仿宋" w:eastAsia="仿宋" w:cs="仿宋"/>
          <w:b w:val="0"/>
          <w:bCs w:val="0"/>
          <w:sz w:val="24"/>
          <w:szCs w:val="24"/>
          <w:shd w:val="clear" w:color="auto" w:fill="FFFFFF"/>
        </w:rPr>
        <w:t>部分；</w:t>
      </w:r>
    </w:p>
    <w:p w14:paraId="3A9AB3C6">
      <w:pPr>
        <w:pStyle w:val="14"/>
        <w:keepNext w:val="0"/>
        <w:keepLines w:val="0"/>
        <w:pageBreakBefore w:val="0"/>
        <w:widowControl/>
        <w:kinsoku/>
        <w:wordWrap/>
        <w:topLinePunct w:val="0"/>
        <w:bidi w:val="0"/>
        <w:snapToGrid/>
        <w:spacing w:beforeAutospacing="0" w:afterAutospacing="0" w:line="240" w:lineRule="auto"/>
        <w:ind w:firstLine="420"/>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shd w:val="clear" w:color="auto" w:fill="FFFFFF"/>
          <w:lang w:val="en-US" w:eastAsia="zh-CN"/>
        </w:rPr>
        <w:t>③</w:t>
      </w:r>
      <w:r>
        <w:rPr>
          <w:rFonts w:hint="eastAsia" w:ascii="仿宋" w:hAnsi="仿宋" w:eastAsia="仿宋" w:cs="仿宋"/>
          <w:b w:val="0"/>
          <w:bCs w:val="0"/>
          <w:color w:val="auto"/>
          <w:sz w:val="24"/>
          <w:szCs w:val="24"/>
          <w:shd w:val="clear" w:color="auto" w:fill="FFFFFF"/>
        </w:rPr>
        <w:t>获得采购合同的供应商将采购项目中的</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shd w:val="clear" w:color="auto" w:fill="FFFFFF"/>
        </w:rPr>
        <w:t>分包给一家或者多家中小企业。</w:t>
      </w:r>
    </w:p>
    <w:p w14:paraId="68BAC510">
      <w:pPr>
        <w:keepNext w:val="0"/>
        <w:keepLines w:val="0"/>
        <w:pageBreakBefore w:val="0"/>
        <w:kinsoku/>
        <w:wordWrap/>
        <w:topLinePunct w:val="0"/>
        <w:bidi w:val="0"/>
        <w:snapToGrid/>
        <w:spacing w:line="240" w:lineRule="auto"/>
        <w:rPr>
          <w:rFonts w:hint="eastAsia" w:ascii="仿宋" w:hAnsi="仿宋" w:eastAsia="仿宋" w:cs="仿宋"/>
          <w:b w:val="0"/>
          <w:bCs w:val="0"/>
          <w:color w:val="auto"/>
          <w:sz w:val="24"/>
          <w:szCs w:val="24"/>
        </w:rPr>
      </w:pPr>
      <w:r>
        <w:rPr>
          <w:rFonts w:hint="eastAsia" w:ascii="仿宋" w:hAnsi="仿宋" w:eastAsia="仿宋" w:cs="仿宋"/>
          <w:b w:val="0"/>
          <w:bCs w:val="0"/>
          <w:sz w:val="24"/>
          <w:szCs w:val="24"/>
        </w:rPr>
        <w:t>备注：采购限额标准以上，200万元以下的货物和服务采购项目、400万元以下的工</w:t>
      </w:r>
      <w:r>
        <w:rPr>
          <w:rFonts w:hint="eastAsia" w:ascii="仿宋" w:hAnsi="仿宋" w:eastAsia="仿宋" w:cs="仿宋"/>
          <w:b w:val="0"/>
          <w:bCs w:val="0"/>
          <w:color w:val="auto"/>
          <w:sz w:val="24"/>
          <w:szCs w:val="24"/>
        </w:rPr>
        <w:t>程采购项目，适宜由中小企业提供的，应当专门面向中小企业采购。</w:t>
      </w:r>
    </w:p>
    <w:p w14:paraId="2AD9E769">
      <w:pPr>
        <w:pStyle w:val="9"/>
        <w:rPr>
          <w:rFonts w:hint="eastAsia" w:ascii="仿宋" w:hAnsi="仿宋" w:eastAsia="仿宋" w:cs="仿宋"/>
          <w:sz w:val="24"/>
          <w:szCs w:val="24"/>
        </w:rPr>
      </w:pPr>
    </w:p>
    <w:p w14:paraId="261FBE77">
      <w:pPr>
        <w:keepNext w:val="0"/>
        <w:keepLines w:val="0"/>
        <w:pageBreakBefore w:val="0"/>
        <w:kinsoku/>
        <w:wordWrap/>
        <w:topLinePunct w:val="0"/>
        <w:bidi w:val="0"/>
        <w:snapToGrid/>
        <w:spacing w:line="240" w:lineRule="auto"/>
        <w:rPr>
          <w:rFonts w:hint="eastAsia" w:ascii="仿宋" w:hAnsi="仿宋" w:eastAsia="仿宋" w:cs="仿宋"/>
          <w:b w:val="0"/>
          <w:bCs w:val="0"/>
          <w:color w:val="auto"/>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val="en-US" w:eastAsia="zh-CN"/>
        </w:rPr>
        <w:sym w:font="Wingdings 2" w:char="00A3"/>
      </w:r>
      <w:r>
        <w:rPr>
          <w:rFonts w:hint="eastAsia" w:ascii="仿宋" w:hAnsi="仿宋" w:eastAsia="仿宋" w:cs="仿宋"/>
          <w:b/>
          <w:bCs/>
          <w:sz w:val="24"/>
          <w:szCs w:val="24"/>
          <w:lang w:val="en-US" w:eastAsia="zh-CN"/>
        </w:rPr>
        <w:t>否：</w:t>
      </w:r>
      <w:r>
        <w:rPr>
          <w:rFonts w:hint="eastAsia" w:ascii="仿宋" w:hAnsi="仿宋" w:eastAsia="仿宋" w:cs="仿宋"/>
          <w:b w:val="0"/>
          <w:bCs w:val="0"/>
          <w:color w:val="auto"/>
          <w:sz w:val="24"/>
          <w:szCs w:val="24"/>
        </w:rPr>
        <w:t>项目不适用专门面向中小企业，根据《政府采购促进中小企业发展管理办法》财库【2020】46号的规定，符合下列情形之一的，可不专门面向中小企业预留采购份额：</w:t>
      </w:r>
    </w:p>
    <w:p w14:paraId="03D5C1E6">
      <w:pPr>
        <w:keepNext w:val="0"/>
        <w:keepLines w:val="0"/>
        <w:pageBreakBefore w:val="0"/>
        <w:numPr>
          <w:ilvl w:val="0"/>
          <w:numId w:val="0"/>
        </w:numPr>
        <w:kinsoku/>
        <w:wordWrap/>
        <w:topLinePunct w:val="0"/>
        <w:bidi w:val="0"/>
        <w:snapToGrid/>
        <w:spacing w:line="24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①</w:t>
      </w:r>
      <w:r>
        <w:rPr>
          <w:rFonts w:hint="eastAsia" w:ascii="仿宋" w:hAnsi="仿宋" w:eastAsia="仿宋" w:cs="仿宋"/>
          <w:b w:val="0"/>
          <w:bCs w:val="0"/>
          <w:color w:val="auto"/>
          <w:sz w:val="24"/>
          <w:szCs w:val="24"/>
        </w:rPr>
        <w:t>法律法规和国家有关政策明确规定优先或者应当面向事业单位、社会组织等非企业主体采购的；</w:t>
      </w:r>
    </w:p>
    <w:p w14:paraId="6886A5BC">
      <w:pPr>
        <w:keepNext w:val="0"/>
        <w:keepLines w:val="0"/>
        <w:pageBreakBefore w:val="0"/>
        <w:numPr>
          <w:ilvl w:val="0"/>
          <w:numId w:val="0"/>
        </w:numPr>
        <w:kinsoku/>
        <w:wordWrap/>
        <w:topLinePunct w:val="0"/>
        <w:bidi w:val="0"/>
        <w:snapToGrid/>
        <w:spacing w:line="24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②</w:t>
      </w:r>
      <w:r>
        <w:rPr>
          <w:rFonts w:hint="eastAsia" w:ascii="仿宋" w:hAnsi="仿宋" w:eastAsia="仿宋" w:cs="仿宋"/>
          <w:b w:val="0"/>
          <w:bCs w:val="0"/>
          <w:color w:val="auto"/>
          <w:sz w:val="24"/>
          <w:szCs w:val="24"/>
        </w:rPr>
        <w:t>因确需使用不可替代的专利、专有技术，基础设施限制，或者提供特定公共服务等原因，只能从中小企业之外的供应商处采购的；</w:t>
      </w:r>
    </w:p>
    <w:p w14:paraId="45B13E60">
      <w:pPr>
        <w:keepNext w:val="0"/>
        <w:keepLines w:val="0"/>
        <w:pageBreakBefore w:val="0"/>
        <w:numPr>
          <w:ilvl w:val="0"/>
          <w:numId w:val="0"/>
        </w:numPr>
        <w:kinsoku/>
        <w:wordWrap/>
        <w:topLinePunct w:val="0"/>
        <w:bidi w:val="0"/>
        <w:snapToGrid/>
        <w:spacing w:line="24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③</w:t>
      </w:r>
      <w:r>
        <w:rPr>
          <w:rFonts w:hint="eastAsia" w:ascii="仿宋" w:hAnsi="仿宋" w:eastAsia="仿宋" w:cs="仿宋"/>
          <w:b w:val="0"/>
          <w:bCs w:val="0"/>
          <w:color w:val="auto"/>
          <w:sz w:val="24"/>
          <w:szCs w:val="24"/>
        </w:rPr>
        <w:t>按照本办法规定预留采购份额无法确保充分供应、充分竞争，或者存在可能影响政府采购目标实现的情形；</w:t>
      </w:r>
    </w:p>
    <w:p w14:paraId="74F653BA">
      <w:pPr>
        <w:keepNext w:val="0"/>
        <w:keepLines w:val="0"/>
        <w:pageBreakBefore w:val="0"/>
        <w:numPr>
          <w:ilvl w:val="0"/>
          <w:numId w:val="0"/>
        </w:numPr>
        <w:kinsoku/>
        <w:wordWrap/>
        <w:topLinePunct w:val="0"/>
        <w:bidi w:val="0"/>
        <w:snapToGrid/>
        <w:spacing w:line="24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④</w:t>
      </w:r>
      <w:r>
        <w:rPr>
          <w:rFonts w:hint="eastAsia" w:ascii="仿宋" w:hAnsi="仿宋" w:eastAsia="仿宋" w:cs="仿宋"/>
          <w:b w:val="0"/>
          <w:bCs w:val="0"/>
          <w:color w:val="auto"/>
          <w:sz w:val="24"/>
          <w:szCs w:val="24"/>
        </w:rPr>
        <w:t>框架协议采购项目；</w:t>
      </w:r>
    </w:p>
    <w:p w14:paraId="0774263A">
      <w:pPr>
        <w:keepNext w:val="0"/>
        <w:keepLines w:val="0"/>
        <w:pageBreakBefore w:val="0"/>
        <w:numPr>
          <w:ilvl w:val="0"/>
          <w:numId w:val="0"/>
        </w:numPr>
        <w:kinsoku/>
        <w:wordWrap/>
        <w:topLinePunct w:val="0"/>
        <w:bidi w:val="0"/>
        <w:snapToGrid/>
        <w:spacing w:line="24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⑤</w:t>
      </w:r>
      <w:r>
        <w:rPr>
          <w:rFonts w:hint="eastAsia" w:ascii="仿宋" w:hAnsi="仿宋" w:eastAsia="仿宋" w:cs="仿宋"/>
          <w:b w:val="0"/>
          <w:bCs w:val="0"/>
          <w:color w:val="auto"/>
          <w:sz w:val="24"/>
          <w:szCs w:val="24"/>
        </w:rPr>
        <w:t>省级以上人民政府财政部门规定的其他情形。</w:t>
      </w:r>
    </w:p>
    <w:p w14:paraId="649334B0">
      <w:pPr>
        <w:keepNext w:val="0"/>
        <w:keepLines w:val="0"/>
        <w:pageBreakBefore w:val="0"/>
        <w:kinsoku/>
        <w:wordWrap/>
        <w:topLinePunct w:val="0"/>
        <w:bidi w:val="0"/>
        <w:snapToGrid/>
        <w:spacing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除上述情形外，其他均为适宜由中小企业提供的情形。</w:t>
      </w:r>
    </w:p>
    <w:p w14:paraId="54086F75">
      <w:pPr>
        <w:keepNext w:val="0"/>
        <w:keepLines w:val="0"/>
        <w:pageBreakBefore w:val="0"/>
        <w:kinsoku/>
        <w:wordWrap/>
        <w:topLinePunct w:val="0"/>
        <w:bidi w:val="0"/>
        <w:snapToGrid/>
        <w:spacing w:line="24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注意：资格要求中的是否接受联合体、是否接受分包需对应勾选。</w:t>
      </w:r>
    </w:p>
    <w:p w14:paraId="45F75E4D">
      <w:pPr>
        <w:keepNext w:val="0"/>
        <w:keepLines w:val="0"/>
        <w:pageBreakBefore w:val="0"/>
        <w:kinsoku/>
        <w:wordWrap/>
        <w:topLinePunct w:val="0"/>
        <w:bidi w:val="0"/>
        <w:snapToGrid/>
        <w:spacing w:line="24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、小微企业报价优惠：</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（联合体</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w:t>
      </w:r>
    </w:p>
    <w:p w14:paraId="6F66AB6D">
      <w:pPr>
        <w:keepNext w:val="0"/>
        <w:keepLines w:val="0"/>
        <w:pageBreakBefore w:val="0"/>
        <w:kinsoku/>
        <w:wordWrap/>
        <w:topLinePunct w:val="0"/>
        <w:bidi w:val="0"/>
        <w:snapToGrid/>
        <w:spacing w:line="240" w:lineRule="auto"/>
        <w:rPr>
          <w:rFonts w:hint="eastAsia" w:ascii="仿宋" w:hAnsi="仿宋" w:eastAsia="仿宋" w:cs="仿宋"/>
          <w:b w:val="0"/>
          <w:bCs w:val="0"/>
          <w:sz w:val="24"/>
          <w:szCs w:val="24"/>
          <w:lang w:eastAsia="zh-CN"/>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、采购标的对应的中小企业划分标准所属行业：</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建筑业</w:t>
      </w:r>
      <w:r>
        <w:rPr>
          <w:rFonts w:hint="eastAsia" w:ascii="仿宋" w:hAnsi="仿宋" w:eastAsia="仿宋" w:cs="仿宋"/>
          <w:b/>
          <w:bCs/>
          <w:sz w:val="24"/>
          <w:szCs w:val="24"/>
          <w:u w:val="single"/>
        </w:rPr>
        <w:t xml:space="preserve">   </w:t>
      </w:r>
    </w:p>
    <w:p w14:paraId="4D6BAB60">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（六）采购方式</w:t>
      </w:r>
    </w:p>
    <w:p w14:paraId="3183822C">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（1）采购方式</w:t>
      </w:r>
    </w:p>
    <w:p w14:paraId="77E276BA">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公开招标</w:t>
      </w:r>
    </w:p>
    <w:p w14:paraId="796FCE04">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□邀请招标</w:t>
      </w:r>
    </w:p>
    <w:p w14:paraId="19A29C3A">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□竞争性谈判</w:t>
      </w:r>
    </w:p>
    <w:p w14:paraId="14426DF5">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□竞争性磋商</w:t>
      </w:r>
    </w:p>
    <w:p w14:paraId="57EE1E9C">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□询价</w:t>
      </w:r>
    </w:p>
    <w:p w14:paraId="2187C0D3">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□单一来源采购</w:t>
      </w:r>
    </w:p>
    <w:p w14:paraId="36CFAFE6">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□其他采购方式：</w:t>
      </w:r>
      <w:r>
        <w:rPr>
          <w:rFonts w:hint="eastAsia" w:ascii="仿宋" w:hAnsi="仿宋" w:eastAsia="仿宋" w:cs="仿宋"/>
          <w:sz w:val="24"/>
          <w:szCs w:val="24"/>
          <w:u w:val="single"/>
        </w:rPr>
        <w:t xml:space="preserve">                            </w:t>
      </w:r>
    </w:p>
    <w:p w14:paraId="69809147">
      <w:pPr>
        <w:spacing w:line="56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选择采购方式的理由：</w:t>
      </w:r>
      <w:r>
        <w:rPr>
          <w:rFonts w:hint="eastAsia" w:ascii="仿宋" w:hAnsi="仿宋" w:eastAsia="仿宋" w:cs="仿宋"/>
          <w:sz w:val="24"/>
          <w:szCs w:val="24"/>
          <w:u w:val="single"/>
        </w:rPr>
        <w:t xml:space="preserve">                        </w:t>
      </w:r>
    </w:p>
    <w:p w14:paraId="468A44BE">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（2）采购方式是否需要财政部门批准：</w:t>
      </w:r>
    </w:p>
    <w:p w14:paraId="5EBC0151">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不需要</w:t>
      </w:r>
    </w:p>
    <w:p w14:paraId="0C14ED5E">
      <w:pPr>
        <w:spacing w:line="56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□需要，报批安排：</w:t>
      </w:r>
      <w:r>
        <w:rPr>
          <w:rFonts w:hint="eastAsia" w:ascii="仿宋" w:hAnsi="仿宋" w:eastAsia="仿宋" w:cs="仿宋"/>
          <w:sz w:val="24"/>
          <w:szCs w:val="24"/>
          <w:u w:val="single"/>
        </w:rPr>
        <w:t xml:space="preserve">                               </w:t>
      </w:r>
    </w:p>
    <w:p w14:paraId="19C6CA35">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（七）供应商资格条件</w:t>
      </w:r>
    </w:p>
    <w:p w14:paraId="1A1918A5">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投标人必须是具有独立法人资格或为具有独立承担民事责任能力的其它组织（提供营业执照或其他证明材料复印件加盖公章，原件备查）</w:t>
      </w:r>
      <w:r>
        <w:rPr>
          <w:rFonts w:hint="eastAsia" w:ascii="仿宋" w:hAnsi="仿宋" w:eastAsia="仿宋" w:cs="仿宋"/>
          <w:sz w:val="24"/>
          <w:szCs w:val="24"/>
          <w:highlight w:val="none"/>
          <w:lang w:eastAsia="zh-CN"/>
        </w:rPr>
        <w:t>。</w:t>
      </w:r>
      <w:r>
        <w:rPr>
          <w:rFonts w:hint="eastAsia"/>
          <w:sz w:val="24"/>
          <w:szCs w:val="24"/>
          <w:lang w:eastAsia="zh-CN"/>
        </w:rPr>
        <w:t>本项目不接受分公司直接投标，</w:t>
      </w:r>
      <w:r>
        <w:rPr>
          <w:rFonts w:hint="eastAsia"/>
          <w:sz w:val="24"/>
          <w:szCs w:val="24"/>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仿宋" w:hAnsi="仿宋" w:eastAsia="仿宋" w:cs="仿宋"/>
          <w:sz w:val="24"/>
          <w:szCs w:val="24"/>
          <w:highlight w:val="none"/>
        </w:rPr>
        <w:t xml:space="preserve"> </w:t>
      </w:r>
    </w:p>
    <w:p w14:paraId="133C468B">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参与本项目政府采购活动时不存在被有关部门禁止参与政府采购活动且在有效期内的情况（由供应商在《政府采购投标及履约承诺函》中作出声明，加盖公章）；</w:t>
      </w:r>
    </w:p>
    <w:p w14:paraId="5657C48D">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具备《中华人民共和国政府采购法》第二十二条第一款的条件（由供应商在《政府采购投标及履约承诺函》中作出声明，加盖公章）；</w:t>
      </w:r>
    </w:p>
    <w:p w14:paraId="68690900">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未被列入失信被执行人、重大税收违法失信主体、政府采购严重违法失信行为记录名单（由供应商在《政府采购投标及履约承诺函》中作出声明，加盖公章）；【注：采购代理机构将通过“信用中国”中“信用服务”栏的“重大税收违法失信主体”“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7CCF93ED">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单位法定代表人（负责人）为同一人或者存在直接控股、管理关系的不同供应商，不得同时参加本项目投标（由供应商在《政府采购投标及履约承诺函》中作出声明，加盖公章）【注：采购代理机构将通过国家企业信用信息公示系统(https://www.gsxt.gov.cn/index.html）</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机关赋码和事业单位登记管理网（http://gjsy.gov.cn/sydwfrxxcx/)</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全国社会组织信用信息公示平台（https://xxgs.chinanpo.mca.gov.cn/gsxt/newList 等网站查询供应商信息，相关信息以截标当日的查询结果为准】；</w:t>
      </w:r>
    </w:p>
    <w:p w14:paraId="574B032D">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不存在不同投标供应商法定代表人（不强制要求有社保）、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或管理）关系证明材料（格式与具体采购文件的章节对应）。如供应商存在未提供《供应商基本情况表》、社保缴纳证明材料及股权（或管理）关系证明材料或所提供证明材料不符合采购文件要求的情形，按资格审查不通过处理）</w:t>
      </w:r>
    </w:p>
    <w:p w14:paraId="718DB699">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为本项目提供整体设计、规范编制或者项目管理、监理、检测等服务的供应商，不得参加本项目投标。（由供应商在《政府采购投标及履约承诺函》中作出声明，加盖公章）；</w:t>
      </w:r>
    </w:p>
    <w:p w14:paraId="0A96E865">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本项目不接受联合体投标，不接受进口产品参与投标，不允许转包、分包（由供应商在《政府采购投标及履约承诺函》中作出声明，加盖公章）。</w:t>
      </w:r>
    </w:p>
    <w:p w14:paraId="5CCBA8FB">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firstLine="48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本项目是否专门面向中小企业采购：本项目属于专门面向</w:t>
      </w:r>
      <w:r>
        <w:rPr>
          <w:rFonts w:hint="eastAsia" w:ascii="仿宋" w:hAnsi="仿宋" w:eastAsia="仿宋" w:cs="仿宋"/>
          <w:sz w:val="24"/>
          <w:szCs w:val="24"/>
          <w:highlight w:val="none"/>
          <w:lang w:eastAsia="zh-CN"/>
        </w:rPr>
        <w:t>中</w:t>
      </w:r>
      <w:r>
        <w:rPr>
          <w:rFonts w:hint="eastAsia" w:ascii="仿宋" w:hAnsi="仿宋" w:eastAsia="仿宋" w:cs="仿宋"/>
          <w:sz w:val="24"/>
          <w:szCs w:val="24"/>
          <w:highlight w:val="none"/>
        </w:rPr>
        <w:t>小微企业采购的项目（提供符合要求的《中小企业声明函》，投标供应商必须属于小型企业或微型企业；如供应商为残疾人福利性单位或监狱企业，视同小型、微型企业，提供《残疾人福利性单位声明函》或《监狱企业声明函》及监狱企业证明文件亦视为符合</w:t>
      </w:r>
      <w:r>
        <w:rPr>
          <w:rFonts w:hint="eastAsia" w:ascii="仿宋" w:hAnsi="仿宋" w:eastAsia="仿宋" w:cs="仿宋"/>
          <w:sz w:val="24"/>
          <w:szCs w:val="24"/>
          <w:highlight w:val="none"/>
          <w:lang w:eastAsia="zh-CN"/>
        </w:rPr>
        <w:t>。</w:t>
      </w:r>
    </w:p>
    <w:p w14:paraId="4CD543D1">
      <w:pPr>
        <w:pStyle w:val="19"/>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640" w:leftChars="200" w:firstLine="0" w:firstLineChars="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本项目对应的中小企业划分标准所属行业：</w:t>
      </w:r>
      <w:r>
        <w:rPr>
          <w:rFonts w:hint="eastAsia" w:ascii="仿宋" w:hAnsi="仿宋" w:eastAsia="仿宋" w:cs="仿宋"/>
          <w:sz w:val="24"/>
          <w:szCs w:val="24"/>
          <w:highlight w:val="none"/>
          <w:lang w:val="en-US" w:eastAsia="zh-CN"/>
        </w:rPr>
        <w:t>建筑业</w:t>
      </w:r>
    </w:p>
    <w:p w14:paraId="105438CC">
      <w:pPr>
        <w:pStyle w:val="19"/>
        <w:keepNext w:val="0"/>
        <w:keepLines w:val="0"/>
        <w:pageBreakBefore w:val="0"/>
        <w:widowControl w:val="0"/>
        <w:numPr>
          <w:ilvl w:val="-1"/>
          <w:numId w:val="0"/>
        </w:numPr>
        <w:kinsoku/>
        <w:wordWrap/>
        <w:overflowPunct/>
        <w:topLinePunct w:val="0"/>
        <w:autoSpaceDE/>
        <w:autoSpaceDN/>
        <w:bidi w:val="0"/>
        <w:adjustRightInd w:val="0"/>
        <w:snapToGrid w:val="0"/>
        <w:spacing w:line="400" w:lineRule="exact"/>
        <w:ind w:left="0" w:leftChars="0" w:firstLine="480"/>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10.本项目特定资格要求：</w:t>
      </w:r>
      <w:r>
        <w:rPr>
          <w:rFonts w:hint="eastAsia" w:ascii="仿宋" w:hAnsi="仿宋" w:eastAsia="仿宋" w:cs="仿宋"/>
          <w:sz w:val="24"/>
          <w:szCs w:val="24"/>
          <w:highlight w:val="none"/>
        </w:rPr>
        <w:t xml:space="preserve"> 投标人必须是具有建筑工程施工总承包三级或以上资质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且必须具备有效期内的安全生产许可证；投标人拟派的项目经理必须具备一级注册建造师资格（建筑工程专业）</w:t>
      </w:r>
      <w:r>
        <w:rPr>
          <w:rFonts w:hint="eastAsia"/>
          <w:sz w:val="24"/>
          <w:szCs w:val="24"/>
          <w:lang w:val="en-US" w:eastAsia="zh-CN"/>
        </w:rPr>
        <w:t>,持有有效的安全生产考核合格证书（B类）</w:t>
      </w:r>
      <w:r>
        <w:rPr>
          <w:rFonts w:hint="eastAsia"/>
          <w:sz w:val="24"/>
          <w:szCs w:val="24"/>
          <w:lang w:eastAsia="zh-CN"/>
        </w:rPr>
        <w:t>且在投标人单位缴纳社会保险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上述证明</w:t>
      </w:r>
      <w:r>
        <w:rPr>
          <w:rFonts w:hint="eastAsia" w:ascii="仿宋" w:hAnsi="仿宋" w:eastAsia="仿宋" w:cs="仿宋"/>
          <w:sz w:val="24"/>
          <w:szCs w:val="24"/>
          <w:highlight w:val="none"/>
          <w:lang w:eastAsia="zh-CN"/>
        </w:rPr>
        <w:t>提供提供证书扫描件或复印件加盖投标人公章，原件备查）。</w:t>
      </w:r>
    </w:p>
    <w:p w14:paraId="7A93E86C">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（八）竞争范围</w:t>
      </w:r>
    </w:p>
    <w:p w14:paraId="723E15AF">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公开方式</w:t>
      </w:r>
    </w:p>
    <w:p w14:paraId="20BAE66E">
      <w:pPr>
        <w:spacing w:line="56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□邀请方式，依据：</w:t>
      </w:r>
      <w:r>
        <w:rPr>
          <w:rFonts w:hint="eastAsia" w:ascii="仿宋" w:hAnsi="仿宋" w:eastAsia="仿宋" w:cs="仿宋"/>
          <w:sz w:val="24"/>
          <w:szCs w:val="24"/>
          <w:u w:val="single"/>
        </w:rPr>
        <w:t xml:space="preserve">                               </w:t>
      </w:r>
    </w:p>
    <w:p w14:paraId="30AEABAB">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（九）评审规则</w:t>
      </w:r>
    </w:p>
    <w:p w14:paraId="4278BE91">
      <w:pPr>
        <w:spacing w:line="56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□最低评标价法，选择该评审规则的理由：</w:t>
      </w:r>
      <w:r>
        <w:rPr>
          <w:rFonts w:hint="eastAsia" w:ascii="仿宋" w:hAnsi="仿宋" w:eastAsia="仿宋" w:cs="仿宋"/>
          <w:sz w:val="24"/>
          <w:szCs w:val="24"/>
          <w:u w:val="single"/>
        </w:rPr>
        <w:t xml:space="preserve">          </w:t>
      </w:r>
    </w:p>
    <w:p w14:paraId="05797EFC">
      <w:pPr>
        <w:spacing w:line="56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□综合评分法，选择该评审规则的理由：</w:t>
      </w:r>
      <w:r>
        <w:rPr>
          <w:rFonts w:hint="eastAsia" w:ascii="仿宋" w:hAnsi="仿宋" w:eastAsia="仿宋" w:cs="仿宋"/>
          <w:sz w:val="24"/>
          <w:szCs w:val="24"/>
          <w:u w:val="single"/>
        </w:rPr>
        <w:t xml:space="preserve">            </w:t>
      </w:r>
    </w:p>
    <w:p w14:paraId="574CF390">
      <w:pPr>
        <w:spacing w:line="560" w:lineRule="exact"/>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lang w:eastAsia="zh-CN"/>
        </w:rPr>
        <w:t>☑</w:t>
      </w:r>
      <w:r>
        <w:rPr>
          <w:rFonts w:hint="eastAsia" w:ascii="仿宋" w:hAnsi="仿宋" w:eastAsia="仿宋" w:cs="仿宋"/>
          <w:sz w:val="24"/>
          <w:szCs w:val="24"/>
          <w:u w:val="single"/>
        </w:rPr>
        <w:t xml:space="preserve">其他：定性评审，本项目需要从综合实力、技术、价格等方面综合择优选取供应商 </w:t>
      </w:r>
    </w:p>
    <w:p w14:paraId="4B1D4146">
      <w:pPr>
        <w:ind w:firstLine="480" w:firstLineChars="200"/>
        <w:rPr>
          <w:rFonts w:hint="eastAsia" w:ascii="仿宋" w:hAnsi="仿宋" w:eastAsia="仿宋" w:cs="仿宋"/>
          <w:sz w:val="24"/>
          <w:szCs w:val="24"/>
        </w:rPr>
      </w:pPr>
    </w:p>
    <w:p w14:paraId="7B203C2A">
      <w:pPr>
        <w:widowControl/>
        <w:spacing w:before="240" w:after="240"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资信标要求一览表（如有）</w:t>
      </w:r>
    </w:p>
    <w:tbl>
      <w:tblPr>
        <w:tblStyle w:val="15"/>
        <w:tblW w:w="4998" w:type="pct"/>
        <w:tblCellSpacing w:w="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8"/>
        <w:gridCol w:w="2469"/>
        <w:gridCol w:w="5226"/>
      </w:tblGrid>
      <w:tr w14:paraId="520C9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blCellSpacing w:w="0" w:type="dxa"/>
        </w:trPr>
        <w:tc>
          <w:tcPr>
            <w:tcW w:w="848" w:type="dxa"/>
            <w:tcBorders>
              <w:tl2br w:val="nil"/>
              <w:tr2bl w:val="nil"/>
            </w:tcBorders>
            <w:tcMar>
              <w:top w:w="0" w:type="dxa"/>
              <w:left w:w="105" w:type="dxa"/>
              <w:bottom w:w="0" w:type="dxa"/>
              <w:right w:w="105" w:type="dxa"/>
            </w:tcMar>
            <w:vAlign w:val="center"/>
          </w:tcPr>
          <w:p w14:paraId="1EB110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序号</w:t>
            </w:r>
          </w:p>
        </w:tc>
        <w:tc>
          <w:tcPr>
            <w:tcW w:w="2469" w:type="dxa"/>
            <w:tcBorders>
              <w:tl2br w:val="nil"/>
              <w:tr2bl w:val="nil"/>
            </w:tcBorders>
            <w:tcMar>
              <w:top w:w="0" w:type="dxa"/>
              <w:left w:w="105" w:type="dxa"/>
              <w:bottom w:w="0" w:type="dxa"/>
              <w:right w:w="105" w:type="dxa"/>
            </w:tcMar>
            <w:vAlign w:val="center"/>
          </w:tcPr>
          <w:p w14:paraId="09D287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资信要素名称</w:t>
            </w:r>
          </w:p>
        </w:tc>
        <w:tc>
          <w:tcPr>
            <w:tcW w:w="5226" w:type="dxa"/>
            <w:tcBorders>
              <w:tl2br w:val="nil"/>
              <w:tr2bl w:val="nil"/>
            </w:tcBorders>
            <w:tcMar>
              <w:top w:w="0" w:type="dxa"/>
              <w:left w:w="105" w:type="dxa"/>
              <w:bottom w:w="0" w:type="dxa"/>
              <w:right w:w="105" w:type="dxa"/>
            </w:tcMar>
            <w:vAlign w:val="center"/>
          </w:tcPr>
          <w:p w14:paraId="6CAD5E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有关要求或说明</w:t>
            </w:r>
          </w:p>
        </w:tc>
      </w:tr>
      <w:tr w14:paraId="5A788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trPr>
        <w:tc>
          <w:tcPr>
            <w:tcW w:w="848" w:type="dxa"/>
            <w:tcBorders>
              <w:tl2br w:val="nil"/>
              <w:tr2bl w:val="nil"/>
            </w:tcBorders>
            <w:tcMar>
              <w:top w:w="0" w:type="dxa"/>
              <w:left w:w="105" w:type="dxa"/>
              <w:bottom w:w="0" w:type="dxa"/>
              <w:right w:w="105" w:type="dxa"/>
            </w:tcMar>
            <w:vAlign w:val="center"/>
          </w:tcPr>
          <w:p w14:paraId="474353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1</w:t>
            </w:r>
          </w:p>
        </w:tc>
        <w:tc>
          <w:tcPr>
            <w:tcW w:w="2469" w:type="dxa"/>
            <w:tcBorders>
              <w:tl2br w:val="nil"/>
              <w:tr2bl w:val="nil"/>
            </w:tcBorders>
            <w:tcMar>
              <w:top w:w="0" w:type="dxa"/>
              <w:left w:w="105" w:type="dxa"/>
              <w:bottom w:w="0" w:type="dxa"/>
              <w:right w:w="105" w:type="dxa"/>
            </w:tcMar>
            <w:vAlign w:val="center"/>
          </w:tcPr>
          <w:p w14:paraId="7CDB95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 xml:space="preserve">企业概况 </w:t>
            </w:r>
          </w:p>
        </w:tc>
        <w:tc>
          <w:tcPr>
            <w:tcW w:w="5226" w:type="dxa"/>
            <w:tcBorders>
              <w:tl2br w:val="nil"/>
              <w:tr2bl w:val="nil"/>
            </w:tcBorders>
            <w:tcMar>
              <w:top w:w="0" w:type="dxa"/>
              <w:left w:w="105" w:type="dxa"/>
              <w:bottom w:w="0" w:type="dxa"/>
              <w:right w:w="105" w:type="dxa"/>
            </w:tcMar>
            <w:vAlign w:val="center"/>
          </w:tcPr>
          <w:p w14:paraId="021C76F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提供企业营业执照、资质证书等。 </w:t>
            </w:r>
          </w:p>
          <w:p w14:paraId="0F0554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注：提供证明材料不齐全或模糊不清，不予计认可。</w:t>
            </w:r>
          </w:p>
        </w:tc>
      </w:tr>
      <w:tr w14:paraId="39FF0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trPr>
        <w:tc>
          <w:tcPr>
            <w:tcW w:w="848" w:type="dxa"/>
            <w:tcBorders>
              <w:tl2br w:val="nil"/>
              <w:tr2bl w:val="nil"/>
            </w:tcBorders>
            <w:tcMar>
              <w:top w:w="0" w:type="dxa"/>
              <w:left w:w="105" w:type="dxa"/>
              <w:bottom w:w="0" w:type="dxa"/>
              <w:right w:w="105" w:type="dxa"/>
            </w:tcMar>
            <w:vAlign w:val="center"/>
          </w:tcPr>
          <w:p w14:paraId="5C3FAB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2</w:t>
            </w:r>
          </w:p>
        </w:tc>
        <w:tc>
          <w:tcPr>
            <w:tcW w:w="2469" w:type="dxa"/>
            <w:tcBorders>
              <w:tl2br w:val="nil"/>
              <w:tr2bl w:val="nil"/>
            </w:tcBorders>
            <w:tcMar>
              <w:top w:w="0" w:type="dxa"/>
              <w:left w:w="105" w:type="dxa"/>
              <w:bottom w:w="0" w:type="dxa"/>
              <w:right w:w="105" w:type="dxa"/>
            </w:tcMar>
            <w:vAlign w:val="center"/>
          </w:tcPr>
          <w:p w14:paraId="11A409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近5年同类工程业绩</w:t>
            </w:r>
          </w:p>
        </w:tc>
        <w:tc>
          <w:tcPr>
            <w:tcW w:w="5226" w:type="dxa"/>
            <w:tcBorders>
              <w:tl2br w:val="nil"/>
              <w:tr2bl w:val="nil"/>
            </w:tcBorders>
            <w:tcMar>
              <w:top w:w="0" w:type="dxa"/>
              <w:left w:w="105" w:type="dxa"/>
              <w:bottom w:w="0" w:type="dxa"/>
              <w:right w:w="105" w:type="dxa"/>
            </w:tcMar>
            <w:vAlign w:val="center"/>
          </w:tcPr>
          <w:p w14:paraId="2A1156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提供企业近5年（招标公告发布之日起倒算，以竣工验收报告时间为准）承担的已完工的建筑工程施工总承包业绩。 </w:t>
            </w:r>
          </w:p>
          <w:p w14:paraId="5D0C3FF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1、业绩时间以竣工验收报告日期为准，需提供中标通知书（若有）、类似业绩合同扫描件关键页（双方盖章）、竣工验收报告，原件备查。2、以上资料未提供或提供不全的，不予认可。3、提供业绩情况不超过5项，超过只计取列表前5项。</w:t>
            </w:r>
          </w:p>
        </w:tc>
      </w:tr>
      <w:tr w14:paraId="3B8CE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6" w:hRule="atLeast"/>
          <w:tblCellSpacing w:w="0" w:type="dxa"/>
        </w:trPr>
        <w:tc>
          <w:tcPr>
            <w:tcW w:w="848" w:type="dxa"/>
            <w:tcBorders>
              <w:tl2br w:val="nil"/>
              <w:tr2bl w:val="nil"/>
            </w:tcBorders>
            <w:tcMar>
              <w:top w:w="0" w:type="dxa"/>
              <w:left w:w="105" w:type="dxa"/>
              <w:bottom w:w="0" w:type="dxa"/>
              <w:right w:w="105" w:type="dxa"/>
            </w:tcMar>
            <w:vAlign w:val="center"/>
          </w:tcPr>
          <w:p w14:paraId="07777C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3</w:t>
            </w:r>
          </w:p>
        </w:tc>
        <w:tc>
          <w:tcPr>
            <w:tcW w:w="2469" w:type="dxa"/>
            <w:tcBorders>
              <w:tl2br w:val="nil"/>
              <w:tr2bl w:val="nil"/>
            </w:tcBorders>
            <w:tcMar>
              <w:top w:w="0" w:type="dxa"/>
              <w:left w:w="105" w:type="dxa"/>
              <w:bottom w:w="0" w:type="dxa"/>
              <w:right w:w="105" w:type="dxa"/>
            </w:tcMar>
            <w:vAlign w:val="center"/>
          </w:tcPr>
          <w:p w14:paraId="0DE66D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技术负责人情况</w:t>
            </w:r>
          </w:p>
        </w:tc>
        <w:tc>
          <w:tcPr>
            <w:tcW w:w="5226" w:type="dxa"/>
            <w:tcBorders>
              <w:tl2br w:val="nil"/>
              <w:tr2bl w:val="nil"/>
            </w:tcBorders>
            <w:tcMar>
              <w:top w:w="0" w:type="dxa"/>
              <w:left w:w="105" w:type="dxa"/>
              <w:bottom w:w="0" w:type="dxa"/>
              <w:right w:w="105" w:type="dxa"/>
            </w:tcMar>
            <w:vAlign w:val="center"/>
          </w:tcPr>
          <w:p w14:paraId="6590CC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一、填写《拟派技术负责人简历表》，并提供相关证明材料；</w:t>
            </w:r>
          </w:p>
          <w:p w14:paraId="50D6D6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二、提供技术负责人近5年（招标公告发布之日起倒算，以竣工验收报告时间为准）承担的已完工的建筑工程施工总承包业绩。 </w:t>
            </w:r>
          </w:p>
          <w:p w14:paraId="5BFE08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1、业绩证明材料为：①施工合同；②验收报告；③其他证明材料；2、①证明材料中须体现技术负责人姓名，否则业绩不予认可。②技术负责人业绩优先以验收报告上的时间为准，如验收报告上无法体现时间的再以合同签订时间为准，如合同上无法体现时间的则以中标通知书上时间为准。3、提供业绩情况不超过2项，超过只计取列表前2项。</w:t>
            </w:r>
          </w:p>
        </w:tc>
      </w:tr>
      <w:tr w14:paraId="0D8C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trPr>
        <w:tc>
          <w:tcPr>
            <w:tcW w:w="848" w:type="dxa"/>
            <w:tcBorders>
              <w:tl2br w:val="nil"/>
              <w:tr2bl w:val="nil"/>
            </w:tcBorders>
            <w:tcMar>
              <w:top w:w="0" w:type="dxa"/>
              <w:left w:w="105" w:type="dxa"/>
              <w:bottom w:w="0" w:type="dxa"/>
              <w:right w:w="105" w:type="dxa"/>
            </w:tcMar>
            <w:vAlign w:val="center"/>
          </w:tcPr>
          <w:p w14:paraId="115C61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2469" w:type="dxa"/>
            <w:tcBorders>
              <w:tl2br w:val="nil"/>
              <w:tr2bl w:val="nil"/>
            </w:tcBorders>
            <w:tcMar>
              <w:top w:w="0" w:type="dxa"/>
              <w:left w:w="105" w:type="dxa"/>
              <w:bottom w:w="0" w:type="dxa"/>
              <w:right w:w="105" w:type="dxa"/>
            </w:tcMar>
            <w:vAlign w:val="center"/>
          </w:tcPr>
          <w:p w14:paraId="2020C1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履约评价</w:t>
            </w:r>
          </w:p>
        </w:tc>
        <w:tc>
          <w:tcPr>
            <w:tcW w:w="5226" w:type="dxa"/>
            <w:tcBorders>
              <w:tl2br w:val="nil"/>
              <w:tr2bl w:val="nil"/>
            </w:tcBorders>
            <w:tcMar>
              <w:top w:w="0" w:type="dxa"/>
              <w:left w:w="105" w:type="dxa"/>
              <w:bottom w:w="0" w:type="dxa"/>
              <w:right w:w="105" w:type="dxa"/>
            </w:tcMar>
            <w:vAlign w:val="center"/>
          </w:tcPr>
          <w:p w14:paraId="23B5B9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提供近三年（以招标公告发布之日倒推，以履约评价时间为准）出具的同类项目履约评价，最多5项，超过5项的取前5项。证明材料：1、履约评价原件扫描件（需体现评价等级如“不合格”、“合格”、“良好”、“优秀”、“分数”、“满意度”及评价时间并加盖建设单位公章）；2、合同关键页扫描件（须能清晰体现项目名称、主要建设内容、合同金额、合同签订时间、签订合同各方签章等主要信息）。 </w:t>
            </w:r>
          </w:p>
        </w:tc>
      </w:tr>
      <w:tr w14:paraId="26E54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trPr>
        <w:tc>
          <w:tcPr>
            <w:tcW w:w="848" w:type="dxa"/>
            <w:tcBorders>
              <w:tl2br w:val="nil"/>
              <w:tr2bl w:val="nil"/>
            </w:tcBorders>
            <w:tcMar>
              <w:top w:w="0" w:type="dxa"/>
              <w:left w:w="105" w:type="dxa"/>
              <w:bottom w:w="0" w:type="dxa"/>
              <w:right w:w="105" w:type="dxa"/>
            </w:tcMar>
            <w:vAlign w:val="center"/>
          </w:tcPr>
          <w:p w14:paraId="26C2DA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5</w:t>
            </w:r>
          </w:p>
        </w:tc>
        <w:tc>
          <w:tcPr>
            <w:tcW w:w="2469" w:type="dxa"/>
            <w:tcBorders>
              <w:tl2br w:val="nil"/>
              <w:tr2bl w:val="nil"/>
            </w:tcBorders>
            <w:tcMar>
              <w:top w:w="0" w:type="dxa"/>
              <w:left w:w="105" w:type="dxa"/>
              <w:bottom w:w="0" w:type="dxa"/>
              <w:right w:w="105" w:type="dxa"/>
            </w:tcMar>
            <w:vAlign w:val="center"/>
          </w:tcPr>
          <w:p w14:paraId="1C4403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其他</w:t>
            </w:r>
          </w:p>
        </w:tc>
        <w:tc>
          <w:tcPr>
            <w:tcW w:w="5226" w:type="dxa"/>
            <w:tcBorders>
              <w:tl2br w:val="nil"/>
              <w:tr2bl w:val="nil"/>
            </w:tcBorders>
            <w:tcMar>
              <w:top w:w="0" w:type="dxa"/>
              <w:left w:w="105" w:type="dxa"/>
              <w:bottom w:w="0" w:type="dxa"/>
              <w:right w:w="105" w:type="dxa"/>
            </w:tcMar>
            <w:vAlign w:val="center"/>
          </w:tcPr>
          <w:p w14:paraId="7859C4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投标人自行提供其他证明企业实力材料，如企业信誉、资质认证情况。</w:t>
            </w:r>
          </w:p>
        </w:tc>
      </w:tr>
    </w:tbl>
    <w:p w14:paraId="13A9ABE5">
      <w:pPr>
        <w:rPr>
          <w:rFonts w:hint="eastAsia" w:ascii="仿宋" w:hAnsi="仿宋" w:eastAsia="仿宋" w:cs="仿宋"/>
          <w:color w:val="auto"/>
          <w:sz w:val="24"/>
          <w:szCs w:val="24"/>
          <w:highlight w:val="none"/>
        </w:rPr>
      </w:pPr>
    </w:p>
    <w:p w14:paraId="59726821">
      <w:pPr>
        <w:widowControl/>
        <w:spacing w:before="240" w:after="240" w:line="400" w:lineRule="exact"/>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定标规则</w:t>
      </w:r>
    </w:p>
    <w:p w14:paraId="5D96ED57">
      <w:pPr>
        <w:keepNext w:val="0"/>
        <w:keepLines w:val="0"/>
        <w:pageBreakBefore w:val="0"/>
        <w:kinsoku/>
        <w:wordWrap/>
        <w:overflowPunct/>
        <w:topLinePunct w:val="0"/>
        <w:autoSpaceDE/>
        <w:autoSpaceDN/>
        <w:bidi w:val="0"/>
        <w:adjustRightInd/>
        <w:snapToGrid/>
        <w:spacing w:line="400" w:lineRule="exact"/>
        <w:ind w:left="0" w:leftChars="0" w:right="0" w:firstLine="480" w:firstLineChars="200"/>
        <w:textAlignment w:val="auto"/>
        <w:rPr>
          <w:rStyle w:val="20"/>
          <w:rFonts w:hint="eastAsia" w:ascii="仿宋" w:hAnsi="仿宋" w:eastAsia="仿宋" w:cs="仿宋"/>
          <w:sz w:val="24"/>
          <w:szCs w:val="24"/>
          <w:highlight w:val="none"/>
          <w:lang w:eastAsia="zh-CN"/>
        </w:rPr>
      </w:pPr>
      <w:r>
        <w:rPr>
          <w:rStyle w:val="20"/>
          <w:rFonts w:hint="eastAsia" w:ascii="仿宋" w:hAnsi="仿宋" w:eastAsia="仿宋" w:cs="仿宋"/>
          <w:sz w:val="24"/>
          <w:szCs w:val="24"/>
          <w:highlight w:val="none"/>
          <w:lang w:eastAsia="zh-CN"/>
        </w:rPr>
        <w:t xml:space="preserve"> 定标委员会根据深府[2015]73号文及最大限度满足招标文件规定的各项综合评价标准的原则，先进行比劣，淘汰有下列情形之一的投标人：</w:t>
      </w:r>
    </w:p>
    <w:p w14:paraId="28086B6C">
      <w:pPr>
        <w:keepNext w:val="0"/>
        <w:keepLines w:val="0"/>
        <w:pageBreakBefore w:val="0"/>
        <w:kinsoku/>
        <w:wordWrap/>
        <w:overflowPunct/>
        <w:topLinePunct w:val="0"/>
        <w:autoSpaceDE/>
        <w:autoSpaceDN/>
        <w:bidi w:val="0"/>
        <w:adjustRightInd/>
        <w:snapToGrid/>
        <w:spacing w:line="400" w:lineRule="exact"/>
        <w:ind w:left="0" w:leftChars="0" w:right="0" w:firstLine="480" w:firstLineChars="200"/>
        <w:textAlignment w:val="auto"/>
        <w:rPr>
          <w:rStyle w:val="20"/>
          <w:rFonts w:hint="eastAsia" w:ascii="仿宋" w:hAnsi="仿宋" w:eastAsia="仿宋" w:cs="仿宋"/>
          <w:sz w:val="24"/>
          <w:szCs w:val="24"/>
          <w:highlight w:val="none"/>
        </w:rPr>
      </w:pP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lang w:val="en-US" w:eastAsia="zh-CN"/>
        </w:rPr>
        <w:t>1</w:t>
      </w: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rPr>
        <w:t>淘汰近三年内在经营活动中因行贿或围标串标违纪违法行为被有关部门查处的投标人；</w:t>
      </w:r>
    </w:p>
    <w:p w14:paraId="78216B12">
      <w:pPr>
        <w:keepNext w:val="0"/>
        <w:keepLines w:val="0"/>
        <w:pageBreakBefore w:val="0"/>
        <w:kinsoku/>
        <w:wordWrap/>
        <w:overflowPunct/>
        <w:topLinePunct w:val="0"/>
        <w:autoSpaceDE/>
        <w:autoSpaceDN/>
        <w:bidi w:val="0"/>
        <w:adjustRightInd/>
        <w:snapToGrid/>
        <w:spacing w:line="400" w:lineRule="exact"/>
        <w:ind w:left="0" w:leftChars="0" w:right="0" w:firstLine="480" w:firstLineChars="200"/>
        <w:textAlignment w:val="auto"/>
        <w:rPr>
          <w:rStyle w:val="20"/>
          <w:rFonts w:hint="eastAsia" w:ascii="仿宋" w:hAnsi="仿宋" w:eastAsia="仿宋" w:cs="仿宋"/>
          <w:sz w:val="24"/>
          <w:szCs w:val="24"/>
          <w:highlight w:val="none"/>
        </w:rPr>
      </w:pP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lang w:val="en-US" w:eastAsia="zh-CN"/>
        </w:rPr>
        <w:t>2</w:t>
      </w: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rPr>
        <w:t>淘汰近一年内在深发生安全生产管理死亡事故的投标人；</w:t>
      </w:r>
    </w:p>
    <w:p w14:paraId="32A62FA2">
      <w:pPr>
        <w:keepNext w:val="0"/>
        <w:keepLines w:val="0"/>
        <w:pageBreakBefore w:val="0"/>
        <w:kinsoku/>
        <w:wordWrap/>
        <w:overflowPunct/>
        <w:topLinePunct w:val="0"/>
        <w:autoSpaceDE/>
        <w:autoSpaceDN/>
        <w:bidi w:val="0"/>
        <w:adjustRightInd/>
        <w:snapToGrid/>
        <w:spacing w:line="400" w:lineRule="exact"/>
        <w:ind w:left="0" w:leftChars="0" w:right="0" w:firstLine="480" w:firstLineChars="200"/>
        <w:textAlignment w:val="auto"/>
        <w:rPr>
          <w:rStyle w:val="20"/>
          <w:rFonts w:hint="eastAsia" w:ascii="仿宋" w:hAnsi="仿宋" w:eastAsia="仿宋" w:cs="仿宋"/>
          <w:sz w:val="24"/>
          <w:szCs w:val="24"/>
          <w:highlight w:val="none"/>
        </w:rPr>
      </w:pP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lang w:val="en-US" w:eastAsia="zh-CN"/>
        </w:rPr>
        <w:t>3</w:t>
      </w: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rPr>
        <w:t>淘汰近一年内有在建项目曾两次或以上被列为宝安区“黑榜”工地的投标人；</w:t>
      </w:r>
    </w:p>
    <w:p w14:paraId="0DE3718D">
      <w:pPr>
        <w:keepNext w:val="0"/>
        <w:keepLines w:val="0"/>
        <w:pageBreakBefore w:val="0"/>
        <w:kinsoku/>
        <w:wordWrap/>
        <w:overflowPunct/>
        <w:topLinePunct w:val="0"/>
        <w:autoSpaceDE/>
        <w:autoSpaceDN/>
        <w:bidi w:val="0"/>
        <w:adjustRightInd/>
        <w:snapToGrid/>
        <w:spacing w:line="400" w:lineRule="exact"/>
        <w:ind w:left="0" w:leftChars="0" w:right="0" w:firstLine="480" w:firstLineChars="200"/>
        <w:textAlignment w:val="auto"/>
        <w:rPr>
          <w:rStyle w:val="20"/>
          <w:rFonts w:hint="eastAsia" w:ascii="仿宋" w:hAnsi="仿宋" w:eastAsia="仿宋" w:cs="仿宋"/>
          <w:sz w:val="24"/>
          <w:szCs w:val="24"/>
          <w:highlight w:val="none"/>
        </w:rPr>
      </w:pP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lang w:val="en-US" w:eastAsia="zh-CN"/>
        </w:rPr>
        <w:t>4</w:t>
      </w: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rPr>
        <w:t>淘汰企业诚信等级较低的投标人；</w:t>
      </w:r>
    </w:p>
    <w:p w14:paraId="22CB79F1">
      <w:pPr>
        <w:keepNext w:val="0"/>
        <w:keepLines w:val="0"/>
        <w:pageBreakBefore w:val="0"/>
        <w:kinsoku/>
        <w:wordWrap/>
        <w:overflowPunct/>
        <w:topLinePunct w:val="0"/>
        <w:autoSpaceDE/>
        <w:autoSpaceDN/>
        <w:bidi w:val="0"/>
        <w:adjustRightInd/>
        <w:snapToGrid/>
        <w:spacing w:line="400" w:lineRule="exact"/>
        <w:ind w:left="0" w:leftChars="0" w:right="0" w:firstLine="480" w:firstLineChars="200"/>
        <w:textAlignment w:val="auto"/>
        <w:rPr>
          <w:rStyle w:val="20"/>
          <w:rFonts w:hint="eastAsia" w:ascii="仿宋" w:hAnsi="仿宋" w:eastAsia="仿宋" w:cs="仿宋"/>
          <w:sz w:val="24"/>
          <w:szCs w:val="24"/>
          <w:highlight w:val="none"/>
        </w:rPr>
      </w:pP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lang w:val="en-US" w:eastAsia="zh-CN"/>
        </w:rPr>
        <w:t>5</w:t>
      </w: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rPr>
        <w:t>淘汰项目负责人诚信等级较低的投标人；</w:t>
      </w:r>
    </w:p>
    <w:p w14:paraId="2046F0A5">
      <w:pPr>
        <w:keepNext w:val="0"/>
        <w:keepLines w:val="0"/>
        <w:pageBreakBefore w:val="0"/>
        <w:kinsoku/>
        <w:wordWrap/>
        <w:overflowPunct/>
        <w:topLinePunct w:val="0"/>
        <w:autoSpaceDE/>
        <w:autoSpaceDN/>
        <w:bidi w:val="0"/>
        <w:adjustRightInd/>
        <w:snapToGrid/>
        <w:spacing w:line="400" w:lineRule="exact"/>
        <w:ind w:left="0" w:leftChars="0" w:right="0" w:firstLine="480" w:firstLineChars="200"/>
        <w:textAlignment w:val="auto"/>
        <w:rPr>
          <w:rStyle w:val="20"/>
          <w:rFonts w:hint="eastAsia" w:ascii="仿宋" w:hAnsi="仿宋" w:eastAsia="仿宋" w:cs="仿宋"/>
          <w:sz w:val="24"/>
          <w:szCs w:val="24"/>
          <w:highlight w:val="none"/>
        </w:rPr>
      </w:pP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lang w:val="en-US" w:eastAsia="zh-CN"/>
        </w:rPr>
        <w:t>6</w:t>
      </w:r>
      <w:r>
        <w:rPr>
          <w:rStyle w:val="20"/>
          <w:rFonts w:hint="eastAsia" w:ascii="仿宋" w:hAnsi="仿宋" w:eastAsia="仿宋" w:cs="仿宋"/>
          <w:sz w:val="24"/>
          <w:szCs w:val="24"/>
          <w:highlight w:val="none"/>
          <w:lang w:eastAsia="zh-CN"/>
        </w:rPr>
        <w:t>）</w:t>
      </w:r>
      <w:r>
        <w:rPr>
          <w:rStyle w:val="20"/>
          <w:rFonts w:hint="eastAsia" w:ascii="仿宋" w:hAnsi="仿宋" w:eastAsia="仿宋" w:cs="仿宋"/>
          <w:sz w:val="24"/>
          <w:szCs w:val="24"/>
          <w:highlight w:val="none"/>
        </w:rPr>
        <w:t>淘汰招标人对企业的履约评价情况较差的投标人；</w:t>
      </w:r>
    </w:p>
    <w:p w14:paraId="28507F5C">
      <w:pPr>
        <w:keepNext w:val="0"/>
        <w:keepLines w:val="0"/>
        <w:pageBreakBefore w:val="0"/>
        <w:kinsoku/>
        <w:wordWrap/>
        <w:overflowPunct/>
        <w:topLinePunct w:val="0"/>
        <w:autoSpaceDE/>
        <w:autoSpaceDN/>
        <w:bidi w:val="0"/>
        <w:adjustRightInd/>
        <w:snapToGrid/>
        <w:spacing w:line="400" w:lineRule="exact"/>
        <w:ind w:left="0" w:leftChars="0" w:right="0" w:firstLine="480" w:firstLineChars="200"/>
        <w:textAlignment w:val="auto"/>
        <w:rPr>
          <w:rFonts w:hint="eastAsia" w:ascii="仿宋" w:hAnsi="仿宋" w:eastAsia="仿宋" w:cs="仿宋"/>
          <w:sz w:val="24"/>
          <w:szCs w:val="24"/>
        </w:rPr>
      </w:pPr>
      <w:r>
        <w:rPr>
          <w:rStyle w:val="20"/>
          <w:rFonts w:hint="eastAsia" w:ascii="仿宋" w:hAnsi="仿宋" w:eastAsia="仿宋" w:cs="仿宋"/>
          <w:kern w:val="2"/>
          <w:sz w:val="24"/>
          <w:szCs w:val="24"/>
          <w:highlight w:val="none"/>
          <w:lang w:val="en-US" w:eastAsia="zh-CN" w:bidi="ar-SA"/>
        </w:rPr>
        <w:t>（7）经上述步骤后定标委员会按照评标专家给出的评审意见、投标人近三年内行政处罚情况、投</w:t>
      </w:r>
      <w:r>
        <w:rPr>
          <w:rStyle w:val="20"/>
          <w:rFonts w:hint="eastAsia" w:ascii="仿宋" w:hAnsi="仿宋" w:eastAsia="仿宋" w:cs="仿宋"/>
          <w:sz w:val="24"/>
          <w:szCs w:val="24"/>
          <w:highlight w:val="none"/>
        </w:rPr>
        <w:t>标响应情况</w:t>
      </w:r>
      <w:r>
        <w:rPr>
          <w:rStyle w:val="20"/>
          <w:rFonts w:hint="eastAsia" w:ascii="仿宋" w:hAnsi="仿宋" w:eastAsia="仿宋" w:cs="仿宋"/>
          <w:sz w:val="24"/>
          <w:szCs w:val="24"/>
          <w:highlight w:val="none"/>
          <w:lang w:val="en-US" w:eastAsia="zh-CN"/>
        </w:rPr>
        <w:t>[</w:t>
      </w:r>
      <w:r>
        <w:rPr>
          <w:rStyle w:val="20"/>
          <w:rFonts w:hint="eastAsia" w:ascii="仿宋" w:hAnsi="仿宋" w:eastAsia="仿宋" w:cs="仿宋"/>
          <w:sz w:val="24"/>
          <w:szCs w:val="24"/>
          <w:highlight w:val="none"/>
        </w:rPr>
        <w:t>包括技术标评审意见、商务标（投标报价）及资信要素</w:t>
      </w:r>
      <w:r>
        <w:rPr>
          <w:rStyle w:val="20"/>
          <w:rFonts w:hint="eastAsia" w:ascii="仿宋" w:hAnsi="仿宋" w:eastAsia="仿宋" w:cs="仿宋"/>
          <w:sz w:val="24"/>
          <w:szCs w:val="24"/>
          <w:highlight w:val="none"/>
          <w:lang w:eastAsia="zh-CN"/>
        </w:rPr>
        <w:t>（企业资质等级、同类工程业绩、项目技术负责人业绩、履约评价）</w:t>
      </w:r>
      <w:r>
        <w:rPr>
          <w:rStyle w:val="20"/>
          <w:rFonts w:hint="eastAsia" w:ascii="仿宋" w:hAnsi="仿宋" w:eastAsia="仿宋" w:cs="仿宋"/>
          <w:sz w:val="24"/>
          <w:szCs w:val="24"/>
          <w:highlight w:val="none"/>
          <w:lang w:val="en-US" w:eastAsia="zh-CN"/>
        </w:rPr>
        <w:t>]</w:t>
      </w:r>
      <w:r>
        <w:rPr>
          <w:rStyle w:val="20"/>
          <w:rFonts w:hint="eastAsia" w:ascii="仿宋" w:hAnsi="仿宋" w:eastAsia="仿宋" w:cs="仿宋"/>
          <w:sz w:val="24"/>
          <w:szCs w:val="24"/>
          <w:highlight w:val="none"/>
        </w:rPr>
        <w:t>、近一年内有在建项目被列为宝安区“红榜”工地情况、企业及项目负责人诚信等级、招标人对企业的履约评价情况、入围清标要素对投标人实力进行综合考量</w:t>
      </w:r>
      <w:r>
        <w:rPr>
          <w:rStyle w:val="20"/>
          <w:rFonts w:hint="eastAsia" w:ascii="仿宋" w:hAnsi="仿宋" w:eastAsia="仿宋" w:cs="仿宋"/>
          <w:strike w:val="0"/>
          <w:dstrike w:val="0"/>
          <w:color w:val="auto"/>
          <w:sz w:val="24"/>
          <w:szCs w:val="24"/>
          <w:highlight w:val="none"/>
          <w:lang w:eastAsia="zh-CN"/>
        </w:rPr>
        <w:t>。</w:t>
      </w:r>
      <w:r>
        <w:rPr>
          <w:rStyle w:val="20"/>
          <w:rFonts w:hint="eastAsia" w:ascii="仿宋" w:hAnsi="仿宋" w:eastAsia="仿宋" w:cs="仿宋"/>
          <w:strike w:val="0"/>
          <w:dstrike w:val="0"/>
          <w:sz w:val="24"/>
          <w:szCs w:val="24"/>
          <w:highlight w:val="none"/>
        </w:rPr>
        <w:t>择优要素按以下顺序：企业资质</w:t>
      </w:r>
      <w:r>
        <w:rPr>
          <w:rStyle w:val="20"/>
          <w:rFonts w:hint="eastAsia" w:ascii="仿宋" w:hAnsi="仿宋" w:eastAsia="仿宋" w:cs="仿宋"/>
          <w:strike w:val="0"/>
          <w:dstrike w:val="0"/>
          <w:sz w:val="24"/>
          <w:szCs w:val="24"/>
          <w:highlight w:val="none"/>
          <w:lang w:eastAsia="zh-CN"/>
        </w:rPr>
        <w:t>等级</w:t>
      </w:r>
      <w:r>
        <w:rPr>
          <w:rStyle w:val="20"/>
          <w:rFonts w:hint="eastAsia" w:ascii="仿宋" w:hAnsi="仿宋" w:eastAsia="仿宋" w:cs="仿宋"/>
          <w:strike w:val="0"/>
          <w:dstrike w:val="0"/>
          <w:sz w:val="24"/>
          <w:szCs w:val="24"/>
          <w:highlight w:val="none"/>
        </w:rPr>
        <w:t>、企业同类</w:t>
      </w:r>
      <w:r>
        <w:rPr>
          <w:rStyle w:val="20"/>
          <w:rFonts w:hint="eastAsia" w:ascii="仿宋" w:hAnsi="仿宋" w:eastAsia="仿宋" w:cs="仿宋"/>
          <w:strike w:val="0"/>
          <w:dstrike w:val="0"/>
          <w:sz w:val="24"/>
          <w:szCs w:val="24"/>
          <w:highlight w:val="none"/>
          <w:lang w:eastAsia="zh-CN"/>
        </w:rPr>
        <w:t>工程</w:t>
      </w:r>
      <w:r>
        <w:rPr>
          <w:rStyle w:val="20"/>
          <w:rFonts w:hint="eastAsia" w:ascii="仿宋" w:hAnsi="仿宋" w:eastAsia="仿宋" w:cs="仿宋"/>
          <w:strike w:val="0"/>
          <w:dstrike w:val="0"/>
          <w:sz w:val="24"/>
          <w:szCs w:val="24"/>
          <w:highlight w:val="none"/>
        </w:rPr>
        <w:t>业绩、</w:t>
      </w:r>
      <w:r>
        <w:rPr>
          <w:rStyle w:val="20"/>
          <w:rFonts w:hint="eastAsia" w:ascii="仿宋" w:hAnsi="仿宋" w:eastAsia="仿宋" w:cs="仿宋"/>
          <w:strike w:val="0"/>
          <w:dstrike w:val="0"/>
          <w:sz w:val="24"/>
          <w:szCs w:val="24"/>
          <w:highlight w:val="none"/>
          <w:lang w:eastAsia="zh-CN"/>
        </w:rPr>
        <w:t>项目</w:t>
      </w:r>
      <w:r>
        <w:rPr>
          <w:rStyle w:val="20"/>
          <w:rFonts w:hint="eastAsia" w:ascii="仿宋" w:hAnsi="仿宋" w:eastAsia="仿宋" w:cs="仿宋"/>
          <w:strike w:val="0"/>
          <w:dstrike w:val="0"/>
          <w:sz w:val="24"/>
          <w:szCs w:val="24"/>
          <w:highlight w:val="none"/>
        </w:rPr>
        <w:t>技术负责人业绩、履约评价、专家推荐、投标报价。</w:t>
      </w:r>
    </w:p>
    <w:p w14:paraId="5B6E58CE">
      <w:pPr>
        <w:pStyle w:val="11"/>
        <w:rPr>
          <w:rFonts w:hint="eastAsia" w:ascii="仿宋" w:hAnsi="仿宋" w:eastAsia="仿宋" w:cs="仿宋"/>
          <w:sz w:val="24"/>
          <w:szCs w:val="24"/>
        </w:rPr>
      </w:pPr>
    </w:p>
    <w:p w14:paraId="16960F56">
      <w:pPr>
        <w:spacing w:line="560" w:lineRule="exact"/>
        <w:ind w:firstLine="640" w:firstLineChars="200"/>
        <w:jc w:val="left"/>
        <w:rPr>
          <w:rFonts w:hint="eastAsia" w:ascii="仿宋" w:hAnsi="仿宋" w:eastAsia="仿宋" w:cs="仿宋"/>
          <w:sz w:val="32"/>
          <w:szCs w:val="32"/>
        </w:rPr>
      </w:pPr>
    </w:p>
    <w:p w14:paraId="75536D93">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二、合同管理安排</w:t>
      </w:r>
    </w:p>
    <w:p w14:paraId="2689D1A0">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（一）合同类型</w:t>
      </w:r>
    </w:p>
    <w:p w14:paraId="02FB74D1">
      <w:pPr>
        <w:spacing w:line="560" w:lineRule="exact"/>
        <w:ind w:firstLine="640" w:firstLineChars="200"/>
        <w:jc w:val="left"/>
        <w:rPr>
          <w:rFonts w:hint="eastAsia" w:ascii="仿宋" w:hAnsi="仿宋" w:eastAsia="仿宋" w:cs="仿宋"/>
          <w:i/>
          <w:sz w:val="32"/>
          <w:szCs w:val="32"/>
          <w:u w:val="single"/>
        </w:rPr>
      </w:pPr>
      <w:r>
        <w:rPr>
          <w:rFonts w:hint="eastAsia" w:ascii="仿宋" w:hAnsi="仿宋" w:eastAsia="仿宋" w:cs="仿宋"/>
          <w:i/>
          <w:sz w:val="32"/>
          <w:szCs w:val="32"/>
          <w:u w:val="single"/>
        </w:rPr>
        <w:t>合同类型按照民法典规定的典型合同类别，结合采购标的的实际情况确定。</w:t>
      </w:r>
    </w:p>
    <w:p w14:paraId="348B7C5B">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□买卖合同</w:t>
      </w:r>
    </w:p>
    <w:p w14:paraId="56E291FB">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建设工程合同</w:t>
      </w:r>
    </w:p>
    <w:p w14:paraId="2B000284">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□技术合同</w:t>
      </w:r>
    </w:p>
    <w:p w14:paraId="41DE5E32">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□物业服务合同</w:t>
      </w:r>
    </w:p>
    <w:p w14:paraId="42EFB079">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□委托合同</w:t>
      </w:r>
    </w:p>
    <w:p w14:paraId="1D2BDA5C">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□其他：</w:t>
      </w:r>
      <w:r>
        <w:rPr>
          <w:rFonts w:hint="eastAsia" w:ascii="仿宋" w:hAnsi="仿宋" w:eastAsia="仿宋" w:cs="仿宋"/>
          <w:sz w:val="32"/>
          <w:szCs w:val="32"/>
          <w:u w:val="single"/>
        </w:rPr>
        <w:t xml:space="preserve">                               </w:t>
      </w:r>
    </w:p>
    <w:p w14:paraId="223B7E46">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选择合同类型的理由：</w:t>
      </w:r>
      <w:r>
        <w:rPr>
          <w:rFonts w:hint="eastAsia" w:ascii="仿宋" w:hAnsi="仿宋" w:eastAsia="仿宋" w:cs="仿宋"/>
          <w:sz w:val="32"/>
          <w:szCs w:val="32"/>
          <w:u w:val="single"/>
        </w:rPr>
        <w:t xml:space="preserve">                   </w:t>
      </w:r>
    </w:p>
    <w:p w14:paraId="706A8B3A">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（二）定价方式</w:t>
      </w:r>
    </w:p>
    <w:p w14:paraId="2B55AF7D">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□固定总价，要求：</w:t>
      </w:r>
      <w:r>
        <w:rPr>
          <w:rFonts w:hint="eastAsia" w:ascii="仿宋" w:hAnsi="仿宋" w:eastAsia="仿宋" w:cs="仿宋"/>
          <w:sz w:val="32"/>
          <w:szCs w:val="32"/>
          <w:u w:val="single"/>
        </w:rPr>
        <w:t xml:space="preserve">                     </w:t>
      </w:r>
    </w:p>
    <w:p w14:paraId="45A07E57">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固定单价，要求：</w:t>
      </w:r>
      <w:r>
        <w:rPr>
          <w:rFonts w:hint="eastAsia" w:ascii="仿宋" w:hAnsi="仿宋" w:eastAsia="仿宋" w:cs="仿宋"/>
          <w:sz w:val="32"/>
          <w:szCs w:val="32"/>
          <w:u w:val="single"/>
        </w:rPr>
        <w:t xml:space="preserve">                     </w:t>
      </w:r>
    </w:p>
    <w:p w14:paraId="1CC08D62">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□成本补偿，要求：</w:t>
      </w:r>
      <w:r>
        <w:rPr>
          <w:rFonts w:hint="eastAsia" w:ascii="仿宋" w:hAnsi="仿宋" w:eastAsia="仿宋" w:cs="仿宋"/>
          <w:sz w:val="32"/>
          <w:szCs w:val="32"/>
          <w:u w:val="single"/>
        </w:rPr>
        <w:t xml:space="preserve">                     </w:t>
      </w:r>
    </w:p>
    <w:p w14:paraId="30E76128">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□绩效激励，要求：</w:t>
      </w:r>
      <w:r>
        <w:rPr>
          <w:rFonts w:hint="eastAsia" w:ascii="仿宋" w:hAnsi="仿宋" w:eastAsia="仿宋" w:cs="仿宋"/>
          <w:sz w:val="32"/>
          <w:szCs w:val="32"/>
          <w:u w:val="single"/>
        </w:rPr>
        <w:t xml:space="preserve">                     </w:t>
      </w:r>
    </w:p>
    <w:p w14:paraId="400F6B15">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选择定价方式的理由：</w:t>
      </w:r>
      <w:r>
        <w:rPr>
          <w:rFonts w:hint="eastAsia" w:ascii="仿宋" w:hAnsi="仿宋" w:eastAsia="仿宋" w:cs="仿宋"/>
          <w:sz w:val="32"/>
          <w:szCs w:val="32"/>
          <w:u w:val="single"/>
        </w:rPr>
        <w:t xml:space="preserve">                   </w:t>
      </w:r>
    </w:p>
    <w:p w14:paraId="03D24139">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（三）合同文本的主要条款</w:t>
      </w:r>
    </w:p>
    <w:p w14:paraId="47F2E0C2">
      <w:pPr>
        <w:spacing w:line="560" w:lineRule="exact"/>
        <w:jc w:val="center"/>
        <w:rPr>
          <w:rFonts w:hint="eastAsia" w:cs="仿宋_GB2312" w:asciiTheme="minorEastAsia" w:hAnsiTheme="minorEastAsia" w:eastAsiaTheme="minorEastAsia"/>
          <w:b/>
          <w:bCs/>
          <w:sz w:val="44"/>
          <w:szCs w:val="44"/>
          <w:highlight w:val="none"/>
        </w:rPr>
      </w:pPr>
    </w:p>
    <w:p w14:paraId="647FA182">
      <w:pPr>
        <w:spacing w:line="560" w:lineRule="exact"/>
        <w:jc w:val="center"/>
        <w:rPr>
          <w:rFonts w:hint="eastAsia" w:cs="仿宋_GB2312" w:asciiTheme="minorEastAsia" w:hAnsiTheme="minorEastAsia" w:eastAsiaTheme="minorEastAsia"/>
          <w:b/>
          <w:bCs/>
          <w:sz w:val="44"/>
          <w:szCs w:val="44"/>
          <w:highlight w:val="none"/>
        </w:rPr>
      </w:pPr>
      <w:r>
        <w:rPr>
          <w:rFonts w:hint="eastAsia" w:cs="仿宋_GB2312" w:asciiTheme="minorEastAsia" w:hAnsiTheme="minorEastAsia" w:eastAsiaTheme="minorEastAsia"/>
          <w:b/>
          <w:bCs/>
          <w:sz w:val="44"/>
          <w:szCs w:val="44"/>
          <w:highlight w:val="none"/>
        </w:rPr>
        <w:t>工程施工合同</w:t>
      </w:r>
    </w:p>
    <w:p w14:paraId="78307AED">
      <w:pPr>
        <w:spacing w:line="560" w:lineRule="exact"/>
        <w:jc w:val="center"/>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（改建、扩建、装饰装修类）</w:t>
      </w:r>
    </w:p>
    <w:p w14:paraId="4624D415">
      <w:pPr>
        <w:spacing w:line="560" w:lineRule="exact"/>
        <w:jc w:val="center"/>
        <w:rPr>
          <w:rFonts w:hint="eastAsia" w:cs="仿宋_GB2312" w:asciiTheme="minorEastAsia" w:hAnsiTheme="minorEastAsia" w:eastAsiaTheme="minorEastAsia"/>
          <w:b/>
          <w:bCs/>
          <w:sz w:val="28"/>
          <w:szCs w:val="28"/>
          <w:highlight w:val="none"/>
        </w:rPr>
      </w:pPr>
    </w:p>
    <w:p w14:paraId="68D52CD9">
      <w:pPr>
        <w:pStyle w:val="14"/>
        <w:spacing w:before="156" w:beforeLines="50" w:after="156" w:afterLines="50" w:line="560" w:lineRule="exact"/>
        <w:ind w:firstLine="560" w:firstLineChars="200"/>
        <w:rPr>
          <w:rFonts w:hint="eastAsia" w:cs="仿宋_GB2312" w:asciiTheme="minorEastAsia" w:hAnsiTheme="minorEastAsia" w:eastAsiaTheme="minorEastAsia"/>
          <w:bCs/>
          <w:sz w:val="28"/>
          <w:szCs w:val="28"/>
          <w:highlight w:val="none"/>
        </w:rPr>
      </w:pPr>
      <w:r>
        <w:rPr>
          <w:rFonts w:hint="eastAsia" w:cs="仿宋_GB2312" w:asciiTheme="minorEastAsia" w:hAnsiTheme="minorEastAsia" w:eastAsiaTheme="minorEastAsia"/>
          <w:bCs/>
          <w:sz w:val="28"/>
          <w:szCs w:val="28"/>
          <w:highlight w:val="none"/>
        </w:rPr>
        <w:t>甲方：</w:t>
      </w:r>
      <w:r>
        <w:rPr>
          <w:rFonts w:hint="eastAsia" w:cs="仿宋_GB2312" w:asciiTheme="minorEastAsia" w:hAnsiTheme="minorEastAsia" w:eastAsiaTheme="minorEastAsia"/>
          <w:bCs/>
          <w:sz w:val="28"/>
          <w:szCs w:val="28"/>
          <w:highlight w:val="none"/>
          <w:u w:val="single"/>
        </w:rPr>
        <w:t xml:space="preserve">                                 </w:t>
      </w:r>
    </w:p>
    <w:p w14:paraId="787F4244">
      <w:pPr>
        <w:pStyle w:val="14"/>
        <w:spacing w:before="156" w:beforeLines="50" w:after="156" w:afterLines="50" w:line="560" w:lineRule="exact"/>
        <w:ind w:firstLine="560" w:firstLineChars="200"/>
        <w:rPr>
          <w:rFonts w:hint="eastAsia" w:cs="仿宋_GB2312" w:asciiTheme="minorEastAsia" w:hAnsiTheme="minorEastAsia" w:eastAsiaTheme="minorEastAsia"/>
          <w:bCs/>
          <w:sz w:val="28"/>
          <w:szCs w:val="28"/>
          <w:highlight w:val="none"/>
        </w:rPr>
      </w:pPr>
      <w:r>
        <w:rPr>
          <w:rFonts w:hint="eastAsia" w:cs="仿宋_GB2312" w:asciiTheme="minorEastAsia" w:hAnsiTheme="minorEastAsia" w:eastAsiaTheme="minorEastAsia"/>
          <w:bCs/>
          <w:sz w:val="28"/>
          <w:szCs w:val="28"/>
          <w:highlight w:val="none"/>
        </w:rPr>
        <w:t>地址：</w:t>
      </w:r>
      <w:r>
        <w:rPr>
          <w:rFonts w:hint="eastAsia" w:cs="仿宋_GB2312" w:asciiTheme="minorEastAsia" w:hAnsiTheme="minorEastAsia" w:eastAsiaTheme="minorEastAsia"/>
          <w:bCs/>
          <w:sz w:val="28"/>
          <w:szCs w:val="28"/>
          <w:highlight w:val="none"/>
          <w:u w:val="single"/>
        </w:rPr>
        <w:t xml:space="preserve">                               </w:t>
      </w:r>
    </w:p>
    <w:p w14:paraId="07BEDFBB">
      <w:pPr>
        <w:pStyle w:val="14"/>
        <w:spacing w:before="156" w:beforeLines="50" w:after="156" w:afterLines="50" w:line="560" w:lineRule="exact"/>
        <w:ind w:firstLine="560" w:firstLineChars="200"/>
        <w:rPr>
          <w:rFonts w:hint="eastAsia" w:cs="仿宋_GB2312" w:asciiTheme="minorEastAsia" w:hAnsiTheme="minorEastAsia" w:eastAsiaTheme="minorEastAsia"/>
          <w:bCs/>
          <w:sz w:val="28"/>
          <w:szCs w:val="28"/>
          <w:highlight w:val="none"/>
        </w:rPr>
      </w:pPr>
      <w:r>
        <w:rPr>
          <w:rFonts w:hint="eastAsia" w:cs="仿宋_GB2312" w:asciiTheme="minorEastAsia" w:hAnsiTheme="minorEastAsia" w:eastAsiaTheme="minorEastAsia"/>
          <w:bCs/>
          <w:sz w:val="28"/>
          <w:szCs w:val="28"/>
          <w:highlight w:val="none"/>
        </w:rPr>
        <w:t>法定代表人：</w:t>
      </w:r>
      <w:r>
        <w:rPr>
          <w:rFonts w:hint="eastAsia" w:cs="仿宋_GB2312" w:asciiTheme="minorEastAsia" w:hAnsiTheme="minorEastAsia" w:eastAsiaTheme="minorEastAsia"/>
          <w:bCs/>
          <w:sz w:val="28"/>
          <w:szCs w:val="28"/>
          <w:highlight w:val="none"/>
          <w:u w:val="single"/>
        </w:rPr>
        <w:t xml:space="preserve">                              </w:t>
      </w:r>
    </w:p>
    <w:p w14:paraId="61DDCA00">
      <w:pPr>
        <w:pStyle w:val="14"/>
        <w:spacing w:before="156" w:beforeLines="50" w:after="156" w:afterLines="50" w:line="560" w:lineRule="exact"/>
        <w:ind w:firstLine="560" w:firstLineChars="200"/>
        <w:rPr>
          <w:rFonts w:hint="eastAsia" w:cs="仿宋_GB2312" w:asciiTheme="minorEastAsia" w:hAnsiTheme="minorEastAsia" w:eastAsiaTheme="minorEastAsia"/>
          <w:bCs/>
          <w:sz w:val="28"/>
          <w:szCs w:val="28"/>
          <w:highlight w:val="none"/>
        </w:rPr>
      </w:pPr>
    </w:p>
    <w:p w14:paraId="3803EFBD">
      <w:pPr>
        <w:pStyle w:val="14"/>
        <w:spacing w:before="156" w:beforeLines="50" w:after="156" w:afterLines="50" w:line="560" w:lineRule="exact"/>
        <w:ind w:firstLine="560" w:firstLineChars="200"/>
        <w:rPr>
          <w:rFonts w:hint="eastAsia" w:cs="仿宋_GB2312" w:asciiTheme="minorEastAsia" w:hAnsiTheme="minorEastAsia" w:eastAsiaTheme="minorEastAsia"/>
          <w:bCs/>
          <w:sz w:val="28"/>
          <w:szCs w:val="28"/>
          <w:highlight w:val="none"/>
        </w:rPr>
      </w:pPr>
      <w:r>
        <w:rPr>
          <w:rFonts w:hint="eastAsia" w:cs="仿宋_GB2312" w:asciiTheme="minorEastAsia" w:hAnsiTheme="minorEastAsia" w:eastAsiaTheme="minorEastAsia"/>
          <w:bCs/>
          <w:sz w:val="28"/>
          <w:szCs w:val="28"/>
          <w:highlight w:val="none"/>
        </w:rPr>
        <w:t>乙方：</w:t>
      </w:r>
      <w:r>
        <w:rPr>
          <w:rFonts w:hint="eastAsia" w:cs="仿宋_GB2312" w:asciiTheme="minorEastAsia" w:hAnsiTheme="minorEastAsia" w:eastAsiaTheme="minorEastAsia"/>
          <w:bCs/>
          <w:sz w:val="28"/>
          <w:szCs w:val="28"/>
          <w:highlight w:val="none"/>
          <w:u w:val="single"/>
        </w:rPr>
        <w:t xml:space="preserve">                                    </w:t>
      </w:r>
    </w:p>
    <w:p w14:paraId="28660299">
      <w:pPr>
        <w:pStyle w:val="14"/>
        <w:spacing w:before="156" w:beforeLines="50" w:beforeAutospacing="0" w:after="156" w:afterLines="50" w:afterAutospacing="0" w:line="560" w:lineRule="exact"/>
        <w:ind w:firstLine="560" w:firstLineChars="200"/>
        <w:rPr>
          <w:rFonts w:hint="eastAsia" w:cs="仿宋_GB2312" w:asciiTheme="minorEastAsia" w:hAnsiTheme="minorEastAsia" w:eastAsiaTheme="minorEastAsia"/>
          <w:bCs/>
          <w:sz w:val="28"/>
          <w:szCs w:val="28"/>
          <w:highlight w:val="none"/>
        </w:rPr>
      </w:pPr>
      <w:r>
        <w:rPr>
          <w:rFonts w:hint="eastAsia" w:cs="仿宋_GB2312" w:asciiTheme="minorEastAsia" w:hAnsiTheme="minorEastAsia" w:eastAsiaTheme="minorEastAsia"/>
          <w:bCs/>
          <w:sz w:val="28"/>
          <w:szCs w:val="28"/>
          <w:highlight w:val="none"/>
        </w:rPr>
        <w:t>地址：</w:t>
      </w:r>
      <w:r>
        <w:rPr>
          <w:rFonts w:hint="eastAsia" w:cs="仿宋_GB2312" w:asciiTheme="minorEastAsia" w:hAnsiTheme="minorEastAsia" w:eastAsiaTheme="minorEastAsia"/>
          <w:bCs/>
          <w:sz w:val="28"/>
          <w:szCs w:val="28"/>
          <w:highlight w:val="none"/>
          <w:u w:val="single"/>
        </w:rPr>
        <w:t xml:space="preserve">                                    </w:t>
      </w:r>
    </w:p>
    <w:p w14:paraId="544ADD3C">
      <w:pPr>
        <w:pStyle w:val="14"/>
        <w:spacing w:before="156" w:beforeLines="50" w:after="156" w:afterLines="50" w:line="560" w:lineRule="exact"/>
        <w:ind w:firstLine="560" w:firstLineChars="200"/>
        <w:rPr>
          <w:rFonts w:hint="eastAsia"/>
          <w:highlight w:val="none"/>
        </w:rPr>
      </w:pPr>
      <w:r>
        <w:rPr>
          <w:rFonts w:hint="eastAsia" w:cs="仿宋_GB2312" w:asciiTheme="minorEastAsia" w:hAnsiTheme="minorEastAsia" w:eastAsiaTheme="minorEastAsia"/>
          <w:bCs/>
          <w:sz w:val="28"/>
          <w:szCs w:val="28"/>
          <w:highlight w:val="none"/>
        </w:rPr>
        <w:t>法定代表人：</w:t>
      </w:r>
      <w:r>
        <w:rPr>
          <w:rFonts w:hint="eastAsia" w:cs="仿宋_GB2312" w:asciiTheme="minorEastAsia" w:hAnsiTheme="minorEastAsia" w:eastAsiaTheme="minorEastAsia"/>
          <w:bCs/>
          <w:sz w:val="28"/>
          <w:szCs w:val="28"/>
          <w:highlight w:val="none"/>
          <w:u w:val="single"/>
        </w:rPr>
        <w:t xml:space="preserve">                              </w:t>
      </w:r>
    </w:p>
    <w:p w14:paraId="14963EF0">
      <w:pPr>
        <w:pStyle w:val="10"/>
        <w:spacing w:before="156" w:beforeLines="50" w:after="156" w:afterLines="50" w:line="560" w:lineRule="exact"/>
        <w:ind w:firstLine="560" w:firstLineChars="200"/>
        <w:rPr>
          <w:rFonts w:hint="eastAsia" w:cs="仿宋_GB2312" w:asciiTheme="minorEastAsia" w:hAnsiTheme="minorEastAsia" w:eastAsiaTheme="minorEastAsia"/>
          <w:bCs/>
          <w:sz w:val="28"/>
          <w:szCs w:val="28"/>
          <w:highlight w:val="none"/>
        </w:rPr>
      </w:pPr>
    </w:p>
    <w:p w14:paraId="498C6D06">
      <w:pPr>
        <w:pStyle w:val="10"/>
        <w:spacing w:before="156" w:beforeLines="50" w:after="156" w:afterLines="50" w:line="560" w:lineRule="exact"/>
        <w:ind w:firstLine="560" w:firstLineChars="200"/>
        <w:rPr>
          <w:rFonts w:hint="eastAsia" w:cs="仿宋_GB2312" w:asciiTheme="minorEastAsia" w:hAnsiTheme="minorEastAsia" w:eastAsiaTheme="minorEastAsia"/>
          <w:bCs/>
          <w:sz w:val="28"/>
          <w:szCs w:val="28"/>
          <w:highlight w:val="none"/>
        </w:rPr>
      </w:pPr>
    </w:p>
    <w:p w14:paraId="58078C2A">
      <w:pPr>
        <w:pStyle w:val="10"/>
        <w:spacing w:before="156" w:beforeLines="50" w:after="156" w:afterLines="50" w:line="560" w:lineRule="exact"/>
        <w:ind w:firstLine="560" w:firstLineChars="200"/>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bCs/>
          <w:sz w:val="28"/>
          <w:szCs w:val="28"/>
          <w:highlight w:val="none"/>
        </w:rPr>
        <w:t>甲乙双方经友好协商，在平等自愿的基础上，根据《中华人民共和国建筑法》、《中华人民共和国民法典》等法律法规，就乙方承包甲方</w:t>
      </w:r>
      <w:r>
        <w:rPr>
          <w:rFonts w:hint="eastAsia" w:cs="仿宋_GB2312" w:asciiTheme="minorEastAsia" w:hAnsiTheme="minorEastAsia" w:eastAsiaTheme="minorEastAsia"/>
          <w:bCs/>
          <w:sz w:val="28"/>
          <w:szCs w:val="28"/>
          <w:highlight w:val="none"/>
          <w:u w:val="single"/>
        </w:rPr>
        <w:t>广东省深圳市宝安区消防救援大队2026年二级站、小分队正规化建设项目（施工）采购项目</w:t>
      </w:r>
      <w:r>
        <w:rPr>
          <w:rFonts w:hint="eastAsia" w:cs="仿宋_GB2312" w:asciiTheme="minorEastAsia" w:hAnsiTheme="minorEastAsia" w:eastAsiaTheme="minorEastAsia"/>
          <w:bCs/>
          <w:sz w:val="28"/>
          <w:szCs w:val="28"/>
          <w:highlight w:val="none"/>
        </w:rPr>
        <w:t>工程的事宜，达成如下合同，以兹共同遵守：</w:t>
      </w:r>
      <w:r>
        <w:rPr>
          <w:rFonts w:hint="eastAsia" w:cs="仿宋_GB2312" w:asciiTheme="minorEastAsia" w:hAnsiTheme="minorEastAsia" w:eastAsiaTheme="minorEastAsia"/>
          <w:sz w:val="28"/>
          <w:szCs w:val="28"/>
          <w:highlight w:val="none"/>
        </w:rPr>
        <w:t xml:space="preserve"> </w:t>
      </w:r>
    </w:p>
    <w:p w14:paraId="3EB3AD65">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b/>
          <w:bCs/>
          <w:sz w:val="28"/>
          <w:szCs w:val="28"/>
          <w:highlight w:val="none"/>
        </w:rPr>
      </w:pPr>
      <w:r>
        <w:rPr>
          <w:rFonts w:hint="eastAsia" w:cs="仿宋_GB2312" w:asciiTheme="minorEastAsia" w:hAnsiTheme="minorEastAsia" w:eastAsiaTheme="minorEastAsia"/>
          <w:b/>
          <w:bCs/>
          <w:sz w:val="28"/>
          <w:szCs w:val="28"/>
          <w:highlight w:val="none"/>
        </w:rPr>
        <w:t>第一条 工程名称：</w:t>
      </w:r>
      <w:r>
        <w:rPr>
          <w:rFonts w:hint="eastAsia" w:cs="仿宋_GB2312" w:asciiTheme="minorEastAsia" w:hAnsiTheme="minorEastAsia" w:eastAsiaTheme="minorEastAsia"/>
          <w:sz w:val="28"/>
          <w:szCs w:val="28"/>
          <w:highlight w:val="none"/>
          <w:u w:val="single"/>
        </w:rPr>
        <w:t>广东省深圳市宝安区消防救援大队2026年二级站、小分队正规化建设项目（施工）采购项目</w:t>
      </w:r>
    </w:p>
    <w:p w14:paraId="0790952C">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b/>
          <w:sz w:val="28"/>
          <w:szCs w:val="28"/>
          <w:highlight w:val="none"/>
        </w:rPr>
      </w:pPr>
      <w:r>
        <w:rPr>
          <w:rFonts w:hint="eastAsia" w:cs="仿宋_GB2312" w:asciiTheme="minorEastAsia" w:hAnsiTheme="minorEastAsia" w:eastAsiaTheme="minorEastAsia"/>
          <w:b/>
          <w:bCs/>
          <w:sz w:val="28"/>
          <w:szCs w:val="28"/>
          <w:highlight w:val="none"/>
        </w:rPr>
        <w:t>第二条 工程地点</w:t>
      </w:r>
      <w:r>
        <w:rPr>
          <w:rFonts w:hint="eastAsia" w:cs="仿宋_GB2312" w:asciiTheme="minorEastAsia" w:hAnsiTheme="minorEastAsia" w:eastAsiaTheme="minorEastAsia"/>
          <w:b/>
          <w:sz w:val="28"/>
          <w:szCs w:val="28"/>
          <w:highlight w:val="none"/>
        </w:rPr>
        <w:t>：</w:t>
      </w:r>
      <w:r>
        <w:rPr>
          <w:rFonts w:hint="eastAsia" w:cs="仿宋_GB2312" w:asciiTheme="minorEastAsia" w:hAnsiTheme="minorEastAsia" w:eastAsiaTheme="minorEastAsia"/>
          <w:bCs/>
          <w:sz w:val="28"/>
          <w:szCs w:val="28"/>
          <w:highlight w:val="none"/>
          <w:u w:val="single"/>
        </w:rPr>
        <w:t>深圳市宝安区</w:t>
      </w:r>
    </w:p>
    <w:p w14:paraId="112FBB7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bCs/>
          <w:sz w:val="28"/>
          <w:szCs w:val="28"/>
          <w:highlight w:val="none"/>
        </w:rPr>
      </w:pPr>
      <w:r>
        <w:rPr>
          <w:rFonts w:hint="eastAsia" w:cs="仿宋_GB2312" w:asciiTheme="minorEastAsia" w:hAnsiTheme="minorEastAsia" w:eastAsiaTheme="minorEastAsia"/>
          <w:b/>
          <w:bCs/>
          <w:sz w:val="28"/>
          <w:szCs w:val="28"/>
          <w:highlight w:val="none"/>
        </w:rPr>
        <w:t>第三条 工程内容</w:t>
      </w:r>
      <w:r>
        <w:rPr>
          <w:rFonts w:hint="eastAsia" w:cs="仿宋_GB2312" w:asciiTheme="minorEastAsia" w:hAnsiTheme="minorEastAsia" w:eastAsiaTheme="minorEastAsia"/>
          <w:b/>
          <w:sz w:val="28"/>
          <w:szCs w:val="28"/>
          <w:highlight w:val="none"/>
        </w:rPr>
        <w:t>：</w:t>
      </w:r>
      <w:r>
        <w:rPr>
          <w:rFonts w:hint="eastAsia" w:cs="仿宋_GB2312" w:asciiTheme="minorEastAsia" w:hAnsiTheme="minorEastAsia" w:eastAsiaTheme="minorEastAsia"/>
          <w:bCs/>
          <w:sz w:val="28"/>
          <w:szCs w:val="28"/>
          <w:highlight w:val="none"/>
          <w:u w:val="single"/>
        </w:rPr>
        <w:t>对宝安区1</w:t>
      </w:r>
      <w:r>
        <w:rPr>
          <w:rFonts w:hint="eastAsia" w:cs="仿宋_GB2312" w:asciiTheme="minorEastAsia" w:hAnsiTheme="minorEastAsia" w:eastAsiaTheme="minorEastAsia"/>
          <w:bCs/>
          <w:sz w:val="28"/>
          <w:szCs w:val="28"/>
          <w:highlight w:val="none"/>
          <w:u w:val="single"/>
          <w:lang w:val="en-US" w:eastAsia="zh-CN"/>
        </w:rPr>
        <w:t>5</w:t>
      </w:r>
      <w:r>
        <w:rPr>
          <w:rFonts w:hint="eastAsia" w:cs="仿宋_GB2312" w:asciiTheme="minorEastAsia" w:hAnsiTheme="minorEastAsia" w:eastAsiaTheme="minorEastAsia"/>
          <w:bCs/>
          <w:sz w:val="28"/>
          <w:szCs w:val="28"/>
          <w:highlight w:val="none"/>
          <w:u w:val="single"/>
        </w:rPr>
        <w:t>个二级站、2</w:t>
      </w:r>
      <w:r>
        <w:rPr>
          <w:rFonts w:hint="eastAsia" w:cs="仿宋_GB2312" w:asciiTheme="minorEastAsia" w:hAnsiTheme="minorEastAsia" w:eastAsiaTheme="minorEastAsia"/>
          <w:bCs/>
          <w:sz w:val="28"/>
          <w:szCs w:val="28"/>
          <w:highlight w:val="none"/>
          <w:u w:val="single"/>
          <w:lang w:val="en-US" w:eastAsia="zh-CN"/>
        </w:rPr>
        <w:t>0</w:t>
      </w:r>
      <w:r>
        <w:rPr>
          <w:rFonts w:hint="eastAsia" w:cs="仿宋_GB2312" w:asciiTheme="minorEastAsia" w:hAnsiTheme="minorEastAsia" w:eastAsiaTheme="minorEastAsia"/>
          <w:bCs/>
          <w:sz w:val="28"/>
          <w:szCs w:val="28"/>
          <w:highlight w:val="none"/>
          <w:u w:val="single"/>
        </w:rPr>
        <w:t>个小分队进行正规化改造工程施工，利用现有条件进行改造提升，完成外观标识统一化、空间布局模块化、执勤训练实战化、内务设置标准化四个部分正规化建设，并对现状消防站部分内容进行改造修缮。详情请参考工程量清单、设计图纸等。</w:t>
      </w:r>
    </w:p>
    <w:p w14:paraId="7CC3FCC3">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b/>
          <w:bCs/>
          <w:sz w:val="28"/>
          <w:szCs w:val="28"/>
          <w:highlight w:val="none"/>
        </w:rPr>
        <w:t>第四条  承包方式</w:t>
      </w:r>
    </w:p>
    <w:p w14:paraId="2A2536AE">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本工程的承包方式为包工包料，固定单价，即乙方包人工、包材料（材料要符合双方约定的品牌及规格、材料性能必须符合国家标准及甲方要求）、包机械（包括大、中、小型机械）、包安全、包质量、包工期、包管理费、包利润、包相关规费及税金等按时完成所有甲方确定的工程项目。乙方包料必须以双方约定的材料正规品牌施工（具体材料详见合同附件），否则甲方可拒绝支付工程款及终止本合同，要求乙方退还一切款项，因此造成的一切后果由乙方自负。</w:t>
      </w:r>
    </w:p>
    <w:p w14:paraId="5B0CA90E">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2．工程预算书经甲乙双方核对确认，漏缺的工程项目或少算工程量的工程项目，由乙方负全部责任，并且要如期完成全部工程项目，工程款总额不再增加。甲方由于乙方上述行为导致的经济损失，由乙方承担。</w:t>
      </w:r>
    </w:p>
    <w:p w14:paraId="4809FEDC">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3．乙方对工程预算书中的各项工程造价以及甲方认定的材料进行了审核确认，乙方承诺按其约定履行合同，对可能的市场风险概由乙方自行承担，本合同约定的工程总造价及相关各项工程价款不再增加。双方确认，合同附件约定的材料品牌、规格、性能等是双方协商一致的结果，并且该内容是双方确定工程价款的重要依据，不存在甲方单方指定的情况。</w:t>
      </w:r>
    </w:p>
    <w:p w14:paraId="14DCB283">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b/>
          <w:bCs/>
          <w:sz w:val="28"/>
          <w:szCs w:val="28"/>
          <w:highlight w:val="none"/>
        </w:rPr>
        <w:t>第五条</w:t>
      </w:r>
      <w:r>
        <w:rPr>
          <w:rFonts w:hint="eastAsia" w:cs="仿宋_GB2312" w:asciiTheme="minorEastAsia" w:hAnsiTheme="minorEastAsia" w:eastAsiaTheme="minorEastAsia"/>
          <w:sz w:val="28"/>
          <w:szCs w:val="28"/>
          <w:highlight w:val="none"/>
        </w:rPr>
        <w:t xml:space="preserve"> </w:t>
      </w:r>
      <w:r>
        <w:rPr>
          <w:rFonts w:hint="eastAsia" w:cs="仿宋_GB2312" w:asciiTheme="minorEastAsia" w:hAnsiTheme="minorEastAsia" w:eastAsiaTheme="minorEastAsia"/>
          <w:sz w:val="28"/>
          <w:szCs w:val="28"/>
          <w:highlight w:val="none"/>
          <w:lang w:eastAsia="zh-Hans"/>
        </w:rPr>
        <w:t>根据乙方的工程清单报价，双方确认</w:t>
      </w:r>
      <w:r>
        <w:rPr>
          <w:rFonts w:hint="eastAsia" w:cs="仿宋_GB2312" w:asciiTheme="minorEastAsia" w:hAnsiTheme="minorEastAsia" w:eastAsiaTheme="minorEastAsia"/>
          <w:bCs/>
          <w:sz w:val="28"/>
          <w:szCs w:val="28"/>
          <w:highlight w:val="none"/>
        </w:rPr>
        <w:t>合同总价为</w:t>
      </w:r>
      <w:r>
        <w:rPr>
          <w:rFonts w:hint="eastAsia" w:cs="仿宋_GB2312" w:asciiTheme="minorEastAsia" w:hAnsiTheme="minorEastAsia" w:eastAsiaTheme="minorEastAsia"/>
          <w:sz w:val="28"/>
          <w:szCs w:val="28"/>
          <w:highlight w:val="none"/>
        </w:rPr>
        <w:t>人民</w:t>
      </w:r>
    </w:p>
    <w:p w14:paraId="176AF62C">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币</w:t>
      </w:r>
      <w:r>
        <w:rPr>
          <w:rFonts w:hint="eastAsia" w:cs="仿宋_GB2312" w:asciiTheme="minorEastAsia" w:hAnsiTheme="minorEastAsia" w:eastAsiaTheme="minorEastAsia"/>
          <w:sz w:val="28"/>
          <w:szCs w:val="28"/>
          <w:highlight w:val="none"/>
          <w:u w:val="single"/>
          <w:lang w:val="en-US" w:eastAsia="zh-CN"/>
        </w:rPr>
        <w:t xml:space="preserve">         </w:t>
      </w:r>
      <w:r>
        <w:rPr>
          <w:rFonts w:hint="eastAsia" w:cs="仿宋_GB2312" w:asciiTheme="minorEastAsia" w:hAnsiTheme="minorEastAsia" w:eastAsiaTheme="minorEastAsia"/>
          <w:sz w:val="28"/>
          <w:szCs w:val="28"/>
          <w:highlight w:val="none"/>
          <w:u w:val="none"/>
        </w:rPr>
        <w:t>元</w:t>
      </w:r>
      <w:r>
        <w:rPr>
          <w:rFonts w:hint="eastAsia" w:cs="仿宋_GB2312" w:asciiTheme="minorEastAsia" w:hAnsiTheme="minorEastAsia" w:eastAsiaTheme="minorEastAsia"/>
          <w:bCs/>
          <w:sz w:val="28"/>
          <w:szCs w:val="28"/>
          <w:highlight w:val="none"/>
          <w:u w:val="none"/>
        </w:rPr>
        <w:t>整</w:t>
      </w:r>
      <w:r>
        <w:rPr>
          <w:rFonts w:hint="eastAsia" w:cs="仿宋_GB2312" w:asciiTheme="minorEastAsia" w:hAnsiTheme="minorEastAsia" w:eastAsiaTheme="minorEastAsia"/>
          <w:sz w:val="28"/>
          <w:szCs w:val="28"/>
          <w:highlight w:val="none"/>
        </w:rPr>
        <w:t xml:space="preserve"> (¥</w:t>
      </w:r>
      <w:r>
        <w:rPr>
          <w:rFonts w:hint="eastAsia" w:cs="仿宋_GB2312" w:asciiTheme="minorEastAsia" w:hAnsiTheme="minorEastAsia" w:eastAsiaTheme="minorEastAsia"/>
          <w:sz w:val="28"/>
          <w:szCs w:val="28"/>
          <w:highlight w:val="none"/>
          <w:u w:val="single"/>
          <w:lang w:val="en-US" w:eastAsia="zh-CN"/>
        </w:rPr>
        <w:t xml:space="preserve">          </w:t>
      </w:r>
      <w:r>
        <w:rPr>
          <w:rFonts w:hint="eastAsia" w:cs="仿宋_GB2312" w:asciiTheme="minorEastAsia" w:hAnsiTheme="minorEastAsia" w:eastAsiaTheme="minorEastAsia"/>
          <w:sz w:val="28"/>
          <w:szCs w:val="28"/>
          <w:highlight w:val="none"/>
        </w:rPr>
        <w:t>)。</w:t>
      </w:r>
    </w:p>
    <w:p w14:paraId="1E4D41F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除根据本合同明确规定外（如甲方同意的设计变更、成本调整、工程指令等所导致的价款调整外）本项目合同价款已包含（包深化设计、包制作、包供应、包安装、包成品保护、包施工验收前净面、包工期、包质量、包测试、包安全、包人工及材料价之任何市场差价、管理费、利润、大型机械进、退场费、保险和国家规定的任何收费、税金（包括但不限于设备进口关税及增值税等）、必须的加班费、费率或汇率的变动、专利费、包装空运、国外及本地存仓、运输、因材料或设备迟到工地的窝工费等等）。承包金额除按本合同的规定外，不得以任何方式调整或变更，任何计算承包金额（如算术上或数量上）的错误皆由本承包单位乙方承担并应视为已被双方接受。在签订本合同时，乙方已充分考虑市场材料物价风险因素和国家政策性调整，在施工期间，乙方报出的项目单价、材料价格、综合费率、施工措施费等均不作调整。</w:t>
      </w:r>
    </w:p>
    <w:p w14:paraId="72956CC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b/>
          <w:bCs/>
          <w:sz w:val="28"/>
          <w:szCs w:val="28"/>
          <w:highlight w:val="none"/>
        </w:rPr>
      </w:pPr>
      <w:r>
        <w:rPr>
          <w:rFonts w:hint="eastAsia" w:cs="仿宋_GB2312" w:asciiTheme="minorEastAsia" w:hAnsiTheme="minorEastAsia" w:eastAsiaTheme="minorEastAsia"/>
          <w:b/>
          <w:bCs/>
          <w:sz w:val="28"/>
          <w:szCs w:val="28"/>
          <w:highlight w:val="none"/>
        </w:rPr>
        <w:t>第六条  工程质量要求</w:t>
      </w:r>
    </w:p>
    <w:p w14:paraId="2104823F">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w:t>
      </w:r>
      <w:r>
        <w:rPr>
          <w:rFonts w:hint="eastAsia" w:cs="仿宋_GB2312" w:asciiTheme="minorEastAsia" w:hAnsiTheme="minorEastAsia" w:eastAsiaTheme="minorEastAsia"/>
          <w:bCs/>
          <w:sz w:val="28"/>
          <w:szCs w:val="28"/>
          <w:highlight w:val="none"/>
        </w:rPr>
        <w:t>工程质量按现行国家标准或行业标准必须达到合格，并符合甲方要求，无相应的国家标准和行业标准时，以甲方要求为准</w:t>
      </w:r>
      <w:r>
        <w:rPr>
          <w:rFonts w:hint="eastAsia" w:cs="仿宋_GB2312" w:asciiTheme="minorEastAsia" w:hAnsiTheme="minorEastAsia" w:eastAsiaTheme="minorEastAsia"/>
          <w:sz w:val="28"/>
          <w:szCs w:val="28"/>
          <w:highlight w:val="none"/>
        </w:rPr>
        <w:t>。</w:t>
      </w:r>
    </w:p>
    <w:p w14:paraId="594C3EE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 如本合同履行过程中，相关政府部门或者新颁布的法律法规对本合同工程有新的质量标准或者要求，且该新标准或者要求高于本合同的约定标准，则以新标准或者较高要求为本合同的履约依据。</w:t>
      </w:r>
    </w:p>
    <w:p w14:paraId="27FDFBFB">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3．严格按甲方确认的设计图纸及甲方的具体要求施工。用材的品牌、厂家、规格、颜色等由本合同附件规定。</w:t>
      </w:r>
    </w:p>
    <w:p w14:paraId="780F96A3">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4．乙方必须具有本工程所需的各项资质。</w:t>
      </w:r>
    </w:p>
    <w:p w14:paraId="23BD628F">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b/>
          <w:bCs/>
          <w:sz w:val="28"/>
          <w:szCs w:val="28"/>
          <w:highlight w:val="none"/>
        </w:rPr>
        <w:t>第七条  工程期限</w:t>
      </w:r>
    </w:p>
    <w:p w14:paraId="1EBB113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1．自</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年</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月</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日开工，</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年</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月</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日前竣工并验收合格。</w:t>
      </w:r>
    </w:p>
    <w:p w14:paraId="13A06EB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上述合同工期已综合考虑了施工期间的节假日、施工现场场地条件和环境条件、农忙及恶劣气候（如包括但不限于大风、沙尘、冰雹、持续高温等）、政府部门政治性会议或其他事件（包括但不限于如高考、运动会、重大节假日等因素对工期的影响）对施工的限制、设计变更导致工程量的增加或工程的返工等。</w:t>
      </w:r>
    </w:p>
    <w:p w14:paraId="493DB9D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b/>
          <w:bCs/>
          <w:sz w:val="28"/>
          <w:szCs w:val="28"/>
          <w:highlight w:val="none"/>
        </w:rPr>
        <w:t>第八条  双方责任</w:t>
      </w:r>
    </w:p>
    <w:p w14:paraId="115E408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（一）甲方责任</w:t>
      </w:r>
    </w:p>
    <w:p w14:paraId="25129FC3">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1．提供必须的施工现场用水、用电接头（水费、电费由乙方承担，具体金额以甲方提供的水电费用清单为准，款项可直接在工程款中扣除）；</w:t>
      </w:r>
    </w:p>
    <w:p w14:paraId="1F62F18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2．甲方有权派代表1-2名，全权代表甲方监督施工质量、进度，检查隐蔽工程及中间工程的验收；</w:t>
      </w:r>
    </w:p>
    <w:p w14:paraId="1085A0D0">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3．组织有关单位参加工程验收，并按合同规定的期限办理竣工结算。</w:t>
      </w:r>
    </w:p>
    <w:p w14:paraId="450C5C82">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（二）乙方责任</w:t>
      </w:r>
    </w:p>
    <w:p w14:paraId="4BDB310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1．编制内含具体时间表的施工组织设计或施工方案、施工总进度计划等进场计划，送甲方审核，并按甲方修改意见在三个工作日内进行修正。</w:t>
      </w:r>
    </w:p>
    <w:p w14:paraId="1723343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2．按施工图纸交底会审纪要、设计变更通知和国家现行的《施工技术验收规范》做好自检工作。</w:t>
      </w:r>
    </w:p>
    <w:p w14:paraId="2E1F2398">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3．做好预防事故的措施,并严格按国家安全施工规范施工，遵行防火安全规定及环境保护规定，确保施工安全和第三者的安全。乙方负责对现场的一切设施和工程人员进行保护，如发生人身伤亡或财产损失事故，一切责任由乙方承担。</w:t>
      </w:r>
    </w:p>
    <w:p w14:paraId="6B96DA1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4．做好施工原始记录、施工日记、隐蔽工程记录，汇集施工技术资料、竣工图纸作交工文件附件移交甲方；乙方在进行隐蔽工程施工及各项验收时，应提前两天书面通知甲方派员到场进行监督或验收；施工中未经甲方同意，不得随意拆改建筑物结构及各种设备管线，否则，由此发生的损失或事故（包括罚款/</w:t>
      </w:r>
      <w:r>
        <w:rPr>
          <w:rFonts w:hint="eastAsia" w:cs="仿宋_GB2312" w:asciiTheme="minorEastAsia" w:hAnsiTheme="minorEastAsia" w:eastAsiaTheme="minorEastAsia"/>
          <w:sz w:val="28"/>
          <w:szCs w:val="28"/>
          <w:highlight w:val="none"/>
          <w:lang w:eastAsia="zh-Hans"/>
        </w:rPr>
        <w:t>违约金/损害赔偿金</w:t>
      </w:r>
      <w:r>
        <w:rPr>
          <w:rFonts w:hint="eastAsia" w:cs="仿宋_GB2312" w:asciiTheme="minorEastAsia" w:hAnsiTheme="minorEastAsia" w:eastAsiaTheme="minorEastAsia"/>
          <w:sz w:val="28"/>
          <w:szCs w:val="28"/>
          <w:highlight w:val="none"/>
        </w:rPr>
        <w:t>），一切责任由乙方承担。</w:t>
      </w:r>
    </w:p>
    <w:p w14:paraId="0D033E13">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5．做好施工组织管理，维护现场的清洁，器材摆放整齐并及时清理施工垃圾，做到管电畅通、窗明地净，工完场清。</w:t>
      </w:r>
    </w:p>
    <w:p w14:paraId="33132D2B">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6．乙方施工用的材料设备，必须具备出厂合格证、产品说明书、质量保证书等，必须符合建筑及消防规范要求，并须经甲方负责人和驻工地代表签字确认后方能使用，否则甲方对施工材料可确认为不合格；凡由乙方采购的材料、设备如不符合质量要求或规格有差异，应禁止使用，否则由此产生的一切损失由乙方承担，同时甲方有权要求返工，并由乙方承担全部费用；施工工艺应符合设计要求，并按有关规定进行检验，检验报告作为竣工资料的组成部分。</w:t>
      </w:r>
    </w:p>
    <w:p w14:paraId="249334A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7．乙方必须参与工程验收。竣工验收合格不免除乙方工程质量责任，若出现乙方施工质量问题，乙方必须承担因此造成的一切损失。</w:t>
      </w:r>
    </w:p>
    <w:p w14:paraId="2016B5B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8．若乙方原因造成工期延慢，每逾期一日按人民币</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元计算向甲方支付逾期违约金（此款可直接在工程款中扣除），逾期</w:t>
      </w:r>
      <w:r>
        <w:rPr>
          <w:rFonts w:hint="eastAsia" w:cs="仿宋_GB2312" w:asciiTheme="minorEastAsia" w:hAnsiTheme="minorEastAsia" w:eastAsiaTheme="minorEastAsia"/>
          <w:sz w:val="28"/>
          <w:szCs w:val="28"/>
          <w:highlight w:val="none"/>
          <w:lang w:eastAsia="zh-Hans"/>
        </w:rPr>
        <w:t>达</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日，甲方有权解除合同，不予支付乙方任何费用，已支付的费用乙方应予以退还，且甲方还有权要求乙方承担工程总价20%的违约金。</w:t>
      </w:r>
    </w:p>
    <w:p w14:paraId="4E8397B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9．甲、乙双方之间为施工合同关系。乙方及其所聘请的人员均为乙方雇佣人员，与甲方不存在任何劳动、雇佣关系，其安全、劳动雇佣关系、保险、工薪、福利等各项事宜均由乙方自行负全部责任并妥善处理。否则，因此给甲方造成任何损害、损失的，乙方应予赔偿。</w:t>
      </w:r>
    </w:p>
    <w:p w14:paraId="7F510215">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b/>
          <w:bCs/>
          <w:sz w:val="28"/>
          <w:szCs w:val="28"/>
          <w:highlight w:val="none"/>
        </w:rPr>
      </w:pPr>
      <w:r>
        <w:rPr>
          <w:rFonts w:hint="eastAsia" w:cs="仿宋_GB2312" w:asciiTheme="minorEastAsia" w:hAnsiTheme="minorEastAsia" w:eastAsiaTheme="minorEastAsia"/>
          <w:b/>
          <w:bCs/>
          <w:sz w:val="28"/>
          <w:szCs w:val="28"/>
          <w:highlight w:val="none"/>
        </w:rPr>
        <w:t>第九条  工程款支付和结算</w:t>
      </w:r>
    </w:p>
    <w:p w14:paraId="3AA53B8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1.工程款支付</w:t>
      </w:r>
    </w:p>
    <w:p w14:paraId="24F30513">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（1）付款原则：工程进度款根据市财政拨款情况、监督、监理情况分期付给。由于投标单位原因造成工程款不能支付，责任由投标单位承担。</w:t>
      </w:r>
    </w:p>
    <w:p w14:paraId="0A0ED953">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（2）预付款的支付</w:t>
      </w:r>
    </w:p>
    <w:p w14:paraId="5747287E">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lang w:eastAsia="zh-CN"/>
        </w:rPr>
        <w:t>①</w:t>
      </w:r>
      <w:r>
        <w:rPr>
          <w:rFonts w:hint="eastAsia" w:cs="仿宋_GB2312" w:asciiTheme="minorEastAsia" w:hAnsiTheme="minorEastAsia" w:eastAsiaTheme="minorEastAsia"/>
          <w:sz w:val="28"/>
          <w:szCs w:val="28"/>
          <w:highlight w:val="none"/>
        </w:rPr>
        <w:t>本工程的工程预付款比例为签约合同价的</w:t>
      </w:r>
      <w:r>
        <w:rPr>
          <w:rFonts w:hint="eastAsia" w:cs="仿宋_GB2312" w:asciiTheme="minorEastAsia" w:hAnsiTheme="minorEastAsia" w:eastAsiaTheme="minorEastAsia"/>
          <w:sz w:val="28"/>
          <w:szCs w:val="28"/>
          <w:highlight w:val="none"/>
          <w:u w:val="single"/>
        </w:rPr>
        <w:t xml:space="preserve"> 30 </w:t>
      </w:r>
      <w:r>
        <w:rPr>
          <w:rFonts w:hint="eastAsia" w:cs="仿宋_GB2312" w:asciiTheme="minorEastAsia" w:hAnsiTheme="minorEastAsia" w:eastAsiaTheme="minorEastAsia"/>
          <w:sz w:val="28"/>
          <w:szCs w:val="28"/>
          <w:highlight w:val="none"/>
        </w:rPr>
        <w:t>%，即：¥</w:t>
      </w:r>
      <w:r>
        <w:rPr>
          <w:rFonts w:hint="eastAsia" w:cs="仿宋_GB2312" w:asciiTheme="minorEastAsia" w:hAnsiTheme="minorEastAsia" w:eastAsiaTheme="minorEastAsia"/>
          <w:sz w:val="28"/>
          <w:szCs w:val="28"/>
          <w:highlight w:val="none"/>
          <w:u w:val="single"/>
        </w:rPr>
        <w:t xml:space="preserve">   /   </w:t>
      </w:r>
      <w:r>
        <w:rPr>
          <w:rFonts w:hint="eastAsia" w:cs="仿宋_GB2312" w:asciiTheme="minorEastAsia" w:hAnsiTheme="minorEastAsia" w:eastAsiaTheme="minorEastAsia"/>
          <w:sz w:val="28"/>
          <w:szCs w:val="28"/>
          <w:highlight w:val="none"/>
        </w:rPr>
        <w:t>。</w:t>
      </w:r>
    </w:p>
    <w:p w14:paraId="2FEF92B4">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其中，施工现场安全文明措施费预付款的金额：</w:t>
      </w:r>
      <w:r>
        <w:rPr>
          <w:rFonts w:hint="eastAsia" w:cs="仿宋_GB2312" w:asciiTheme="minorEastAsia" w:hAnsiTheme="minorEastAsia" w:eastAsiaTheme="minorEastAsia"/>
          <w:sz w:val="28"/>
          <w:szCs w:val="28"/>
          <w:highlight w:val="none"/>
          <w:u w:val="single"/>
        </w:rPr>
        <w:t>按相关规定。</w:t>
      </w:r>
    </w:p>
    <w:p w14:paraId="1C11D244">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lang w:eastAsia="zh-CN"/>
        </w:rPr>
        <w:t>②</w:t>
      </w:r>
      <w:r>
        <w:rPr>
          <w:rFonts w:hint="eastAsia" w:cs="仿宋_GB2312" w:asciiTheme="minorEastAsia" w:hAnsiTheme="minorEastAsia" w:eastAsiaTheme="minorEastAsia"/>
          <w:sz w:val="28"/>
          <w:szCs w:val="28"/>
          <w:highlight w:val="none"/>
        </w:rPr>
        <w:t>关于本工程预付款担保的约定：</w:t>
      </w:r>
      <w:r>
        <w:rPr>
          <w:rFonts w:hint="eastAsia" w:cs="仿宋_GB2312" w:asciiTheme="minorEastAsia" w:hAnsiTheme="minorEastAsia" w:eastAsiaTheme="minorEastAsia"/>
          <w:sz w:val="28"/>
          <w:szCs w:val="28"/>
          <w:highlight w:val="none"/>
          <w:u w:val="single"/>
          <w:lang w:val="en-US" w:eastAsia="zh-CN"/>
        </w:rPr>
        <w:t xml:space="preserve"> </w:t>
      </w:r>
      <w:r>
        <w:rPr>
          <w:rFonts w:hint="eastAsia" w:cs="仿宋_GB2312" w:asciiTheme="minorEastAsia" w:hAnsiTheme="minorEastAsia" w:eastAsiaTheme="minorEastAsia"/>
          <w:sz w:val="28"/>
          <w:szCs w:val="28"/>
          <w:highlight w:val="none"/>
          <w:u w:val="single"/>
        </w:rPr>
        <w:t xml:space="preserve">支付预付款7天前需提供预付款担保，担保形式采用银行保函 </w:t>
      </w:r>
      <w:r>
        <w:rPr>
          <w:rFonts w:hint="eastAsia" w:cs="仿宋_GB2312" w:asciiTheme="minorEastAsia" w:hAnsiTheme="minorEastAsia" w:eastAsiaTheme="minorEastAsia"/>
          <w:sz w:val="28"/>
          <w:szCs w:val="28"/>
          <w:highlight w:val="none"/>
        </w:rPr>
        <w:t>。</w:t>
      </w:r>
    </w:p>
    <w:p w14:paraId="5A5AF0F7">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lang w:eastAsia="zh-CN"/>
        </w:rPr>
        <w:t>③</w:t>
      </w:r>
      <w:r>
        <w:rPr>
          <w:rFonts w:hint="eastAsia" w:cs="仿宋_GB2312" w:asciiTheme="minorEastAsia" w:hAnsiTheme="minorEastAsia" w:eastAsiaTheme="minorEastAsia"/>
          <w:sz w:val="28"/>
          <w:szCs w:val="28"/>
          <w:highlight w:val="none"/>
        </w:rPr>
        <w:t>采购人向投标人支付工程预付款的时间：</w:t>
      </w:r>
      <w:r>
        <w:rPr>
          <w:rFonts w:hint="eastAsia" w:cs="仿宋_GB2312" w:asciiTheme="minorEastAsia" w:hAnsiTheme="minorEastAsia" w:eastAsiaTheme="minorEastAsia"/>
          <w:sz w:val="28"/>
          <w:szCs w:val="28"/>
          <w:highlight w:val="none"/>
          <w:u w:val="single"/>
          <w:lang w:val="en-US" w:eastAsia="zh-CN"/>
        </w:rPr>
        <w:t xml:space="preserve"> </w:t>
      </w:r>
      <w:r>
        <w:rPr>
          <w:rFonts w:hint="eastAsia" w:cs="仿宋_GB2312" w:asciiTheme="minorEastAsia" w:hAnsiTheme="minorEastAsia" w:eastAsiaTheme="minorEastAsia"/>
          <w:sz w:val="28"/>
          <w:szCs w:val="28"/>
          <w:highlight w:val="none"/>
          <w:u w:val="single"/>
        </w:rPr>
        <w:t>合同签定后、工程开工前7天</w:t>
      </w:r>
      <w:r>
        <w:rPr>
          <w:rFonts w:hint="eastAsia" w:cs="仿宋_GB2312" w:asciiTheme="minorEastAsia" w:hAnsiTheme="minorEastAsia" w:eastAsiaTheme="minorEastAsia"/>
          <w:sz w:val="28"/>
          <w:szCs w:val="28"/>
          <w:highlight w:val="none"/>
          <w:u w:val="single"/>
          <w:lang w:val="en-US" w:eastAsia="zh-CN"/>
        </w:rPr>
        <w:t xml:space="preserve"> </w:t>
      </w:r>
      <w:r>
        <w:rPr>
          <w:rFonts w:hint="eastAsia" w:cs="仿宋_GB2312" w:asciiTheme="minorEastAsia" w:hAnsiTheme="minorEastAsia" w:eastAsiaTheme="minorEastAsia"/>
          <w:sz w:val="28"/>
          <w:szCs w:val="28"/>
          <w:highlight w:val="none"/>
        </w:rPr>
        <w:t>。</w:t>
      </w:r>
    </w:p>
    <w:p w14:paraId="4E78608C">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采购人支付预付款之前，还应具备的条件：</w:t>
      </w:r>
      <w:r>
        <w:rPr>
          <w:rFonts w:hint="eastAsia" w:cs="仿宋_GB2312" w:asciiTheme="minorEastAsia" w:hAnsiTheme="minorEastAsia" w:eastAsiaTheme="minorEastAsia"/>
          <w:sz w:val="28"/>
          <w:szCs w:val="28"/>
          <w:highlight w:val="none"/>
          <w:u w:val="single"/>
        </w:rPr>
        <w:t xml:space="preserve">   /   </w:t>
      </w:r>
    </w:p>
    <w:p w14:paraId="2B99FC2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lang w:eastAsia="zh-CN"/>
        </w:rPr>
        <w:t>④</w:t>
      </w:r>
      <w:r>
        <w:rPr>
          <w:rFonts w:hint="eastAsia" w:cs="仿宋_GB2312" w:asciiTheme="minorEastAsia" w:hAnsiTheme="minorEastAsia" w:eastAsiaTheme="minorEastAsia"/>
          <w:sz w:val="28"/>
          <w:szCs w:val="28"/>
          <w:highlight w:val="none"/>
        </w:rPr>
        <w:t>工程预付款扣回的起扣点：累计完成量达到合同价款40%时起扣。每次按预付款等比例回扣。</w:t>
      </w:r>
    </w:p>
    <w:p w14:paraId="5BBD3422">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工程预付款扣回比例：按比例扣回，支付到合同价70%之前扣完。</w:t>
      </w:r>
    </w:p>
    <w:p w14:paraId="69DCB9FE">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lang w:eastAsia="zh-CN"/>
        </w:rPr>
        <w:t>（</w:t>
      </w:r>
      <w:r>
        <w:rPr>
          <w:rFonts w:hint="eastAsia" w:cs="仿宋_GB2312" w:asciiTheme="minorEastAsia" w:hAnsiTheme="minorEastAsia" w:eastAsiaTheme="minorEastAsia"/>
          <w:sz w:val="28"/>
          <w:szCs w:val="28"/>
          <w:highlight w:val="none"/>
          <w:lang w:val="en-US" w:eastAsia="zh-CN"/>
        </w:rPr>
        <w:t>3</w:t>
      </w:r>
      <w:r>
        <w:rPr>
          <w:rFonts w:hint="eastAsia" w:cs="仿宋_GB2312" w:asciiTheme="minorEastAsia" w:hAnsiTheme="minorEastAsia" w:eastAsiaTheme="minorEastAsia"/>
          <w:sz w:val="28"/>
          <w:szCs w:val="28"/>
          <w:highlight w:val="none"/>
          <w:lang w:eastAsia="zh-CN"/>
        </w:rPr>
        <w:t>）</w:t>
      </w:r>
      <w:r>
        <w:rPr>
          <w:rFonts w:hint="eastAsia" w:cs="仿宋_GB2312" w:asciiTheme="minorEastAsia" w:hAnsiTheme="minorEastAsia" w:eastAsiaTheme="minorEastAsia"/>
          <w:sz w:val="28"/>
          <w:szCs w:val="28"/>
          <w:highlight w:val="none"/>
        </w:rPr>
        <w:t>进度款的支付</w:t>
      </w:r>
    </w:p>
    <w:p w14:paraId="561B257F">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lang w:eastAsia="zh-CN"/>
        </w:rPr>
        <w:t>①</w:t>
      </w:r>
      <w:r>
        <w:rPr>
          <w:rFonts w:hint="eastAsia" w:cs="仿宋_GB2312" w:asciiTheme="minorEastAsia" w:hAnsiTheme="minorEastAsia" w:eastAsiaTheme="minorEastAsia"/>
          <w:sz w:val="28"/>
          <w:szCs w:val="28"/>
          <w:highlight w:val="none"/>
        </w:rPr>
        <w:t>期中结算</w:t>
      </w:r>
    </w:p>
    <w:p w14:paraId="33B44045">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本工程办理期中结算与支付的时间间隔为：每月25日前填报当月实际完成的工程量，并经监理工程师、采购人代表审核后进行计价，每月进度款按实际完成工程量造价的85%支付，工程变更部分进度款经变更备案后按照实际完成工程造价的85%支付。全部工程按规定竣工验收合格结算并经相关审计部门完成结算审计后支付至结算审计金额的97%，其余3%作为工程质保金，待保修期满后按规定一次性付清。结算余款如在上述时间节点后半年内投标人未按要求申请办理付款手续，采购人将视为投标人已经放弃此部分余款的权利，采购人将不再支付此部分余款，后果由投标人自行承担。</w:t>
      </w:r>
    </w:p>
    <w:p w14:paraId="32C2D55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采购人未能及时支付工程进度款时，投标人可发出书面通知要求及时付款。如采购人因特殊困难不能及时支付进度款时，双方可协商确定延期付款方案。采购人不支付延期应付款项的利息。</w:t>
      </w:r>
    </w:p>
    <w:p w14:paraId="533B7740">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lang w:eastAsia="zh-CN"/>
        </w:rPr>
        <w:t>②</w:t>
      </w:r>
      <w:r>
        <w:rPr>
          <w:rFonts w:hint="eastAsia" w:cs="仿宋_GB2312" w:asciiTheme="minorEastAsia" w:hAnsiTheme="minorEastAsia" w:eastAsiaTheme="minorEastAsia"/>
          <w:sz w:val="28"/>
          <w:szCs w:val="28"/>
          <w:highlight w:val="none"/>
        </w:rPr>
        <w:t>期中支付</w:t>
      </w:r>
    </w:p>
    <w:p w14:paraId="049ADDDA">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期中支付的最低金额为：若经审批的当月进度款不足50万元时，采购人不支付当月进度款，结转至下月进度款累计支付。</w:t>
      </w:r>
    </w:p>
    <w:p w14:paraId="4FBE4934">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2．甲方按照本合同约定将合同价款支付至乙方指定的如下银行账户后，即视为甲方已履行了本合同约定的付款义务：</w:t>
      </w:r>
    </w:p>
    <w:p w14:paraId="33E87468">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账户名称：</w:t>
      </w:r>
    </w:p>
    <w:p w14:paraId="1CEAD8AA">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开 户 行：</w:t>
      </w:r>
    </w:p>
    <w:p w14:paraId="296C71BE">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账    号：</w:t>
      </w:r>
    </w:p>
    <w:p w14:paraId="5EBE631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3.乙方应在甲方支付上述款项前向甲方提供合法有效的发票，否则甲方对延迟付款不承担任何违约责任。</w:t>
      </w:r>
    </w:p>
    <w:p w14:paraId="188A3E7D">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4.乙方知晓本合同费用属于政府拨款，如遇政策影响或审批延迟，未能及时付款的，甲方不承担任何责任，乙方对此明确知悉并同意接受，乙方同意不以此为由追究甲方任何责任，也不得以此为由不履行合同约定的义务。</w:t>
      </w:r>
    </w:p>
    <w:p w14:paraId="25557585">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b/>
          <w:bCs/>
          <w:sz w:val="28"/>
          <w:szCs w:val="28"/>
          <w:highlight w:val="none"/>
        </w:rPr>
      </w:pPr>
      <w:r>
        <w:rPr>
          <w:rFonts w:hint="eastAsia" w:cs="仿宋_GB2312" w:asciiTheme="minorEastAsia" w:hAnsiTheme="minorEastAsia" w:eastAsiaTheme="minorEastAsia"/>
          <w:b/>
          <w:bCs/>
          <w:sz w:val="28"/>
          <w:szCs w:val="28"/>
          <w:highlight w:val="none"/>
        </w:rPr>
        <w:t>第十条  工程竣工验收</w:t>
      </w:r>
    </w:p>
    <w:p w14:paraId="06F888D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1．阶段性验收：隐蔽工程及闭水试验要在施工过程中由甲方验收达到合格。</w:t>
      </w:r>
    </w:p>
    <w:p w14:paraId="29379E6D">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2．乙方所承包工程完工后，经甲方与相关政府主管部门（如有）的验收达到合格，工程才视为竣工。</w:t>
      </w:r>
    </w:p>
    <w:p w14:paraId="1F748AF4">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甲方指定的本工程验收人为[</w:t>
      </w:r>
      <w:r>
        <w:rPr>
          <w:rFonts w:hint="eastAsia" w:cs="仿宋_GB2312" w:asciiTheme="minorEastAsia" w:hAnsiTheme="minorEastAsia" w:eastAsiaTheme="minorEastAsia"/>
          <w:sz w:val="28"/>
          <w:szCs w:val="28"/>
          <w:highlight w:val="none"/>
          <w:u w:val="single"/>
          <w:lang w:val="en-US" w:eastAsia="zh-CN"/>
        </w:rPr>
        <w:t xml:space="preserve">     </w:t>
      </w:r>
      <w:r>
        <w:rPr>
          <w:rFonts w:hint="eastAsia" w:cs="仿宋_GB2312" w:asciiTheme="minorEastAsia" w:hAnsiTheme="minorEastAsia" w:eastAsiaTheme="minorEastAsia"/>
          <w:sz w:val="28"/>
          <w:szCs w:val="28"/>
          <w:highlight w:val="none"/>
        </w:rPr>
        <w:t>],联系电话[</w:t>
      </w:r>
      <w:r>
        <w:rPr>
          <w:rFonts w:hint="eastAsia" w:cs="仿宋_GB2312" w:asciiTheme="minorEastAsia" w:hAnsiTheme="minorEastAsia" w:eastAsiaTheme="minorEastAsia"/>
          <w:sz w:val="28"/>
          <w:szCs w:val="28"/>
          <w:highlight w:val="none"/>
          <w:u w:val="single"/>
          <w:lang w:val="en-US" w:eastAsia="zh-CN"/>
        </w:rPr>
        <w:t xml:space="preserve">       </w:t>
      </w:r>
      <w:r>
        <w:rPr>
          <w:rFonts w:hint="eastAsia" w:cs="仿宋_GB2312" w:asciiTheme="minorEastAsia" w:hAnsiTheme="minorEastAsia" w:eastAsiaTheme="minorEastAsia"/>
          <w:sz w:val="28"/>
          <w:szCs w:val="28"/>
          <w:highlight w:val="none"/>
        </w:rPr>
        <w:t>]。</w:t>
      </w:r>
    </w:p>
    <w:p w14:paraId="59546F8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如验收不合格，乙方应返工并按第八条第（二）款第8项约定承担逾期违约金；经第二次验收仍不合格，则甲方有权解除合同，除逾期违约金外，乙方还应向甲方支付合同总价20%的违约金，</w:t>
      </w:r>
      <w:r>
        <w:rPr>
          <w:rFonts w:hint="eastAsia" w:cs="仿宋_GB2312" w:asciiTheme="minorEastAsia" w:hAnsiTheme="minorEastAsia" w:eastAsiaTheme="minorEastAsia"/>
          <w:sz w:val="28"/>
          <w:szCs w:val="28"/>
          <w:highlight w:val="none"/>
          <w:lang w:eastAsia="zh-Hans"/>
        </w:rPr>
        <w:t>违约金不足以弥补甲方损失的应当予以补足</w:t>
      </w:r>
      <w:r>
        <w:rPr>
          <w:rFonts w:hint="eastAsia" w:cs="仿宋_GB2312" w:asciiTheme="minorEastAsia" w:hAnsiTheme="minorEastAsia" w:eastAsiaTheme="minorEastAsia"/>
          <w:sz w:val="28"/>
          <w:szCs w:val="28"/>
          <w:highlight w:val="none"/>
        </w:rPr>
        <w:t>。</w:t>
      </w:r>
    </w:p>
    <w:p w14:paraId="494F8C2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3．乙方在验收前</w:t>
      </w:r>
      <w:r>
        <w:rPr>
          <w:rFonts w:hint="eastAsia" w:cs="仿宋_GB2312" w:asciiTheme="minorEastAsia" w:hAnsiTheme="minorEastAsia" w:eastAsiaTheme="minorEastAsia"/>
          <w:sz w:val="28"/>
          <w:szCs w:val="28"/>
          <w:highlight w:val="none"/>
          <w:lang w:val="en-US" w:eastAsia="zh-CN"/>
        </w:rPr>
        <w:t>10</w:t>
      </w:r>
      <w:r>
        <w:rPr>
          <w:rFonts w:hint="eastAsia" w:cs="仿宋_GB2312" w:asciiTheme="minorEastAsia" w:hAnsiTheme="minorEastAsia" w:eastAsiaTheme="minorEastAsia"/>
          <w:sz w:val="28"/>
          <w:szCs w:val="28"/>
          <w:highlight w:val="none"/>
        </w:rPr>
        <w:t>日内，书面通知甲方检查验收，如甲方不能按时参加，须通知乙方另订验收日期。</w:t>
      </w:r>
    </w:p>
    <w:p w14:paraId="03866C2B">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4．工程竣工验收按国家颁发的《施工验收规范》为依据。在竣工验收时，乙方向甲方提供：</w:t>
      </w:r>
    </w:p>
    <w:p w14:paraId="713A9D62">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（1）隐蔽工程验收记录和中间交工验收记录；</w:t>
      </w:r>
    </w:p>
    <w:p w14:paraId="1F6F2B8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（2）提供竣工图纸和竣工验收报告；</w:t>
      </w:r>
    </w:p>
    <w:p w14:paraId="7ED49900">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（3）提供两份完整、齐全、合格的竣工资料移交给甲方。否则视为竣工验收不合格，甲方有权不再支付工程款。</w:t>
      </w:r>
    </w:p>
    <w:p w14:paraId="50DEDC7E">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b/>
          <w:sz w:val="28"/>
          <w:szCs w:val="28"/>
          <w:highlight w:val="none"/>
        </w:rPr>
      </w:pPr>
      <w:r>
        <w:rPr>
          <w:rFonts w:hint="eastAsia" w:cs="仿宋_GB2312" w:asciiTheme="minorEastAsia" w:hAnsiTheme="minorEastAsia" w:eastAsiaTheme="minorEastAsia"/>
          <w:b/>
          <w:sz w:val="28"/>
          <w:szCs w:val="28"/>
          <w:highlight w:val="none"/>
        </w:rPr>
        <w:t>第十一条  保修</w:t>
      </w:r>
    </w:p>
    <w:p w14:paraId="493FF4DE">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1．保修期：保修期自工程验收合格，且甲方正式启用之日起计</w:t>
      </w:r>
      <w:r>
        <w:rPr>
          <w:rFonts w:hint="eastAsia" w:cs="仿宋_GB2312" w:asciiTheme="minorEastAsia" w:hAnsiTheme="minorEastAsia" w:eastAsiaTheme="minorEastAsia"/>
          <w:sz w:val="28"/>
          <w:szCs w:val="28"/>
          <w:highlight w:val="none"/>
          <w:u w:val="single"/>
          <w:lang w:val="en-US" w:eastAsia="zh-CN"/>
        </w:rPr>
        <w:t xml:space="preserve">     </w:t>
      </w:r>
      <w:r>
        <w:rPr>
          <w:rFonts w:hint="eastAsia" w:cs="仿宋_GB2312" w:asciiTheme="minorEastAsia" w:hAnsiTheme="minorEastAsia" w:eastAsiaTheme="minorEastAsia"/>
          <w:sz w:val="28"/>
          <w:szCs w:val="28"/>
          <w:highlight w:val="none"/>
        </w:rPr>
        <w:t>年。</w:t>
      </w:r>
    </w:p>
    <w:p w14:paraId="5E65448F">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2．保修范围：保修期内因乙方提供设备、材料及施工出现的任何质量问题，乙方负责免费维修或更换（维修更换所使用的配件或材料等必须原厂产品）。</w:t>
      </w:r>
    </w:p>
    <w:p w14:paraId="2E3EB122">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3．保修承诺：质保期内，如发生任何质量问题（材料、设备质量或施工质量），乙方在接到甲方通知后12小时内派人到现场检查并完成维修工作（维修结果须符合甲方要求），并承担所发生的费用。乙方若在上述时间内无法派出人员进行维修，甲方有权委派其他人员维修，所产生的费用从本工程质保金中扣除，质保金不足以涵盖维修费用的，甲方有权向乙方就超出质保金的部分进行追偿。保修期内，乙方对工程及产品质量负全部责任。保修期满后，如甲方需要购买设备或材料配件，乙方保证按低于当时的市场合理价格向甲方供货。</w:t>
      </w:r>
    </w:p>
    <w:p w14:paraId="196B2D43">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b/>
          <w:sz w:val="28"/>
          <w:szCs w:val="28"/>
          <w:highlight w:val="none"/>
        </w:rPr>
      </w:pPr>
      <w:r>
        <w:rPr>
          <w:rFonts w:hint="eastAsia" w:cs="仿宋_GB2312" w:asciiTheme="minorEastAsia" w:hAnsiTheme="minorEastAsia" w:eastAsiaTheme="minorEastAsia"/>
          <w:b/>
          <w:bCs/>
          <w:sz w:val="28"/>
          <w:szCs w:val="28"/>
          <w:highlight w:val="none"/>
        </w:rPr>
        <w:t>第十二条</w:t>
      </w:r>
      <w:r>
        <w:rPr>
          <w:rFonts w:hint="eastAsia" w:cs="仿宋_GB2312" w:asciiTheme="minorEastAsia" w:hAnsiTheme="minorEastAsia" w:eastAsiaTheme="minorEastAsia"/>
          <w:b/>
          <w:sz w:val="28"/>
          <w:szCs w:val="28"/>
          <w:highlight w:val="none"/>
        </w:rPr>
        <w:t xml:space="preserve">  履约担保</w:t>
      </w:r>
    </w:p>
    <w:p w14:paraId="57364FCD">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1.乙方须向甲方提供本合同价款的3%</w:t>
      </w:r>
      <w:r>
        <w:rPr>
          <w:rFonts w:hint="eastAsia" w:cs="仿宋_GB2312" w:asciiTheme="minorEastAsia" w:hAnsiTheme="minorEastAsia" w:eastAsiaTheme="minorEastAsia"/>
          <w:sz w:val="28"/>
          <w:szCs w:val="28"/>
          <w:highlight w:val="none"/>
          <w:lang w:eastAsia="zh-Hans"/>
        </w:rPr>
        <w:t>即</w:t>
      </w:r>
      <w:r>
        <w:rPr>
          <w:rFonts w:hint="eastAsia" w:cs="仿宋_GB2312" w:asciiTheme="minorEastAsia" w:hAnsiTheme="minorEastAsia" w:eastAsiaTheme="minorEastAsia"/>
          <w:sz w:val="28"/>
          <w:szCs w:val="28"/>
          <w:highlight w:val="none"/>
        </w:rPr>
        <w:t>人民币</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元（</w:t>
      </w:r>
      <w:r>
        <w:rPr>
          <w:rFonts w:hint="eastAsia" w:cs="仿宋_GB2312" w:asciiTheme="minorEastAsia" w:hAnsiTheme="minorEastAsia" w:eastAsiaTheme="minorEastAsia"/>
          <w:sz w:val="28"/>
          <w:szCs w:val="28"/>
          <w:highlight w:val="none"/>
          <w:lang w:eastAsia="zh-Hans"/>
        </w:rPr>
        <w:t>大写</w:t>
      </w:r>
      <w:r>
        <w:rPr>
          <w:rFonts w:hint="eastAsia" w:cs="仿宋_GB2312" w:asciiTheme="minorEastAsia" w:hAnsiTheme="minorEastAsia" w:eastAsiaTheme="minorEastAsia"/>
          <w:sz w:val="28"/>
          <w:szCs w:val="28"/>
          <w:highlight w:val="none"/>
        </w:rPr>
        <w:t>人民币</w:t>
      </w:r>
      <w:r>
        <w:rPr>
          <w:rFonts w:hint="eastAsia" w:cs="仿宋_GB2312" w:asciiTheme="minorEastAsia" w:hAnsiTheme="minorEastAsia" w:eastAsiaTheme="minorEastAsia"/>
          <w:sz w:val="28"/>
          <w:szCs w:val="28"/>
          <w:highlight w:val="none"/>
          <w:u w:val="single"/>
          <w:lang w:val="en-US" w:eastAsia="zh-CN"/>
        </w:rPr>
        <w:t xml:space="preserve">     </w:t>
      </w:r>
      <w:r>
        <w:rPr>
          <w:rFonts w:hint="eastAsia" w:cs="仿宋_GB2312" w:asciiTheme="minorEastAsia" w:hAnsiTheme="minorEastAsia" w:eastAsiaTheme="minorEastAsia"/>
          <w:sz w:val="28"/>
          <w:szCs w:val="28"/>
          <w:highlight w:val="none"/>
        </w:rPr>
        <w:t>元）作为本服务项目的履约保函金额，乙方应在本合同签订之日起</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天内向甲方提交由甲方认可的国有银行开具的无条件担保履约保函（见索即付），保函期限至服务期届满且双方办理完服务交接并经甲方最终验收合格后1年。若乙方未按要求提供履约保函，甲方有权解除本合同，并有权要求乙方承担合同价10%的违约金并赔偿甲方因此遭受的其他损失。</w:t>
      </w:r>
    </w:p>
    <w:p w14:paraId="508963CF">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乙方向甲方提供的履约保函，应当包括本合同约定的所有履约索赔情形，如未明确，甲方有权拒绝接受履约保函，并视为乙方未按时提供；如果未列明属于非乙方原因而是因为担保银行不同意列明的，发生列明的索赔情形时因银行拒绝赔付，则甲方有权从未付合同价款中扣减或向乙方另行追偿。</w:t>
      </w:r>
    </w:p>
    <w:p w14:paraId="2660490B">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3.因乙方原因导致本合同被解除的，乙方除承担相关违约责任外，甲方有权从履约保函中支取全部费用，不足部分，甲方有权继续追偿。</w:t>
      </w:r>
    </w:p>
    <w:p w14:paraId="2C63E472">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4.乙方未按合同要求及时履行义务的，</w:t>
      </w:r>
      <w:r>
        <w:rPr>
          <w:rFonts w:hint="eastAsia" w:cs="仿宋_GB2312" w:asciiTheme="minorEastAsia" w:hAnsiTheme="minorEastAsia" w:eastAsiaTheme="minorEastAsia"/>
          <w:sz w:val="28"/>
          <w:szCs w:val="28"/>
          <w:highlight w:val="none"/>
          <w:lang w:eastAsia="zh-Hans"/>
        </w:rPr>
        <w:t>违约状态</w:t>
      </w:r>
      <w:r>
        <w:rPr>
          <w:rFonts w:hint="eastAsia" w:cs="仿宋_GB2312" w:asciiTheme="minorEastAsia" w:hAnsiTheme="minorEastAsia" w:eastAsiaTheme="minorEastAsia"/>
          <w:sz w:val="28"/>
          <w:szCs w:val="28"/>
          <w:highlight w:val="none"/>
        </w:rPr>
        <w:t>每</w:t>
      </w:r>
      <w:r>
        <w:rPr>
          <w:rFonts w:hint="eastAsia" w:cs="仿宋_GB2312" w:asciiTheme="minorEastAsia" w:hAnsiTheme="minorEastAsia" w:eastAsiaTheme="minorEastAsia"/>
          <w:sz w:val="28"/>
          <w:szCs w:val="28"/>
          <w:highlight w:val="none"/>
          <w:lang w:eastAsia="zh-Hans"/>
        </w:rPr>
        <w:t>持续</w:t>
      </w:r>
      <w:r>
        <w:rPr>
          <w:rFonts w:hint="eastAsia" w:cs="仿宋_GB2312" w:asciiTheme="minorEastAsia" w:hAnsiTheme="minorEastAsia" w:eastAsiaTheme="minorEastAsia"/>
          <w:sz w:val="28"/>
          <w:szCs w:val="28"/>
          <w:highlight w:val="none"/>
        </w:rPr>
        <w:t>一天将扣除履约保函金额的1%，若45天以上，甲方有权收取履约保函中的全部金额，履约保函金额不足以弥补甲方损失的，甲方有权继续向乙方追偿。</w:t>
      </w:r>
    </w:p>
    <w:p w14:paraId="76BB82FE">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280" w:firstLineChars="1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5.乙方如违反国家相关法律法规（如拖欠工资导致劳资纠纷）、履行合同过程中须承担赔偿（补偿）责任或履行本合同约定义务而产生费用（如乙方人员罢工、歇工等事件时，甲方临时指定其他单位负责相应工作所产生的费用），甲方有权从履约保函中支付相关费用。</w:t>
      </w:r>
    </w:p>
    <w:p w14:paraId="61F36CF3">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6.乙方损坏甲方的设施设备且不按规定赔偿，或因其他原因导致甲方利益受损的，甲方有权从履约保函中支取相应赔偿费用。</w:t>
      </w:r>
    </w:p>
    <w:p w14:paraId="630AEA0B">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7．在发生本条第4、5或6点情况时，乙方应在20天内补足履约保函金额。未补足的，甲方有权单方解除本合同并追究其相关责任，并提取履约保函中剩余金额赔偿甲方损失。</w:t>
      </w:r>
    </w:p>
    <w:p w14:paraId="6178F74E">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8、本合同所称的损失，包括但不限于守约方追究违约方责任所产生的律师费、诉讼费、财产保全费、鉴定费和差旅费等费用。</w:t>
      </w:r>
    </w:p>
    <w:p w14:paraId="05A0C197">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b/>
          <w:bCs/>
          <w:sz w:val="28"/>
          <w:szCs w:val="28"/>
          <w:highlight w:val="none"/>
        </w:rPr>
      </w:pPr>
      <w:r>
        <w:rPr>
          <w:rFonts w:hint="eastAsia" w:cs="仿宋_GB2312" w:asciiTheme="minorEastAsia" w:hAnsiTheme="minorEastAsia" w:eastAsiaTheme="minorEastAsia"/>
          <w:b/>
          <w:bCs/>
          <w:sz w:val="28"/>
          <w:szCs w:val="28"/>
          <w:highlight w:val="none"/>
        </w:rPr>
        <w:t>第十三条  违约责任</w:t>
      </w:r>
    </w:p>
    <w:p w14:paraId="022D801B">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b/>
          <w:bCs/>
          <w:sz w:val="28"/>
          <w:szCs w:val="28"/>
          <w:highlight w:val="none"/>
        </w:rPr>
      </w:pPr>
      <w:r>
        <w:rPr>
          <w:rFonts w:hint="eastAsia" w:cs="仿宋_GB2312" w:asciiTheme="minorEastAsia" w:hAnsiTheme="minorEastAsia" w:eastAsiaTheme="minorEastAsia"/>
          <w:sz w:val="28"/>
          <w:szCs w:val="28"/>
          <w:highlight w:val="none"/>
        </w:rPr>
        <w:t>1.乙方必须依照甲方确认的图纸及要求进行施工，保质、保量如期完成所有工程项目，如因乙方原因施工进度达不到合同及甲方要求、施工质量差，甲方有权要求乙方在限定时间内改正，经整改仍达不到合格标准的甲方有权解除合同并要求乙方支付合同总价10%的违约金，且应赔偿给甲方造成的所有损失。</w:t>
      </w:r>
    </w:p>
    <w:p w14:paraId="516BDE1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未经甲方书面同意，乙方不得将工程转包、分包给第三方，若经核查有未经甲方批准的第三方施工单位进场施工，甲方有权立即解除本合同并要求乙方及第三方立即退场并有权解除合同、没收履约保证金，且按照实际完成合格工程量的70%与乙方进行结算。</w:t>
      </w:r>
    </w:p>
    <w:p w14:paraId="686D342E">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3</w:t>
      </w:r>
      <w:r>
        <w:rPr>
          <w:rFonts w:hint="eastAsia" w:cs="仿宋_GB2312" w:asciiTheme="minorEastAsia" w:hAnsiTheme="minorEastAsia" w:eastAsiaTheme="minorEastAsia"/>
          <w:sz w:val="28"/>
          <w:szCs w:val="28"/>
          <w:highlight w:val="none"/>
          <w:lang w:eastAsia="zh-Hans"/>
        </w:rPr>
        <w:t>.乙方存在本合同约定的其他违约情形的，适用前述具体约定。</w:t>
      </w:r>
    </w:p>
    <w:p w14:paraId="1A4755E5">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b/>
          <w:bCs/>
          <w:sz w:val="28"/>
          <w:szCs w:val="28"/>
          <w:highlight w:val="none"/>
        </w:rPr>
      </w:pPr>
      <w:r>
        <w:rPr>
          <w:rFonts w:hint="eastAsia" w:cs="仿宋_GB2312" w:asciiTheme="minorEastAsia" w:hAnsiTheme="minorEastAsia" w:eastAsiaTheme="minorEastAsia"/>
          <w:b/>
          <w:bCs/>
          <w:sz w:val="28"/>
          <w:szCs w:val="28"/>
          <w:highlight w:val="none"/>
        </w:rPr>
        <w:t>第十四条  合同附件</w:t>
      </w:r>
    </w:p>
    <w:p w14:paraId="2F017EA2">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w:t>
      </w:r>
      <w:r>
        <w:rPr>
          <w:rFonts w:hint="eastAsia" w:cs="仿宋_GB2312" w:asciiTheme="minorEastAsia" w:hAnsiTheme="minorEastAsia" w:eastAsiaTheme="minorEastAsia"/>
          <w:bCs/>
          <w:sz w:val="28"/>
          <w:szCs w:val="28"/>
          <w:highlight w:val="none"/>
        </w:rPr>
        <w:t>乙方资质证明</w:t>
      </w:r>
    </w:p>
    <w:p w14:paraId="344DF376">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bCs/>
          <w:sz w:val="28"/>
          <w:szCs w:val="28"/>
          <w:highlight w:val="none"/>
        </w:rPr>
      </w:pPr>
      <w:r>
        <w:rPr>
          <w:rFonts w:hint="eastAsia" w:cs="仿宋_GB2312" w:asciiTheme="minorEastAsia" w:hAnsiTheme="minorEastAsia" w:eastAsiaTheme="minorEastAsia"/>
          <w:sz w:val="28"/>
          <w:szCs w:val="28"/>
          <w:highlight w:val="none"/>
        </w:rPr>
        <w:t>2．</w:t>
      </w:r>
      <w:r>
        <w:rPr>
          <w:rFonts w:hint="eastAsia" w:cs="仿宋_GB2312" w:asciiTheme="minorEastAsia" w:hAnsiTheme="minorEastAsia" w:eastAsiaTheme="minorEastAsia"/>
          <w:bCs/>
          <w:sz w:val="28"/>
          <w:szCs w:val="28"/>
          <w:highlight w:val="none"/>
        </w:rPr>
        <w:t>工程预算书</w:t>
      </w:r>
    </w:p>
    <w:p w14:paraId="163F941B">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b/>
          <w:bCs/>
          <w:sz w:val="28"/>
          <w:szCs w:val="28"/>
          <w:highlight w:val="none"/>
        </w:rPr>
        <w:t>第十五条</w:t>
      </w:r>
      <w:r>
        <w:rPr>
          <w:rFonts w:hint="eastAsia" w:cs="仿宋_GB2312" w:asciiTheme="minorEastAsia" w:hAnsiTheme="minorEastAsia" w:eastAsiaTheme="minorEastAsia"/>
          <w:sz w:val="28"/>
          <w:szCs w:val="28"/>
          <w:highlight w:val="none"/>
        </w:rPr>
        <w:t xml:space="preserve">  本合同附件是本合同的重要组成部分，与本合同具有同等的法律效力。本合同未尽事宜，</w:t>
      </w:r>
      <w:r>
        <w:rPr>
          <w:rFonts w:hint="eastAsia" w:cs="仿宋_GB2312" w:asciiTheme="minorEastAsia" w:hAnsiTheme="minorEastAsia" w:eastAsiaTheme="minorEastAsia"/>
          <w:sz w:val="28"/>
          <w:szCs w:val="28"/>
          <w:highlight w:val="none"/>
          <w:lang w:eastAsia="zh-Hans"/>
        </w:rPr>
        <w:t>参照适用双方的招标采购文件及投标文件、投标承诺书。若均未约定相关事宜的</w:t>
      </w:r>
      <w:r>
        <w:rPr>
          <w:rFonts w:hint="eastAsia" w:cs="仿宋_GB2312" w:asciiTheme="minorEastAsia" w:hAnsiTheme="minorEastAsia" w:eastAsiaTheme="minorEastAsia"/>
          <w:sz w:val="28"/>
          <w:szCs w:val="28"/>
          <w:highlight w:val="none"/>
        </w:rPr>
        <w:t>可另行签订补充协议作为本合同附件。</w:t>
      </w:r>
    </w:p>
    <w:p w14:paraId="5404A6C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b/>
          <w:bCs/>
          <w:sz w:val="28"/>
          <w:szCs w:val="28"/>
          <w:highlight w:val="none"/>
        </w:rPr>
        <w:t>第十六条</w:t>
      </w:r>
      <w:r>
        <w:rPr>
          <w:rFonts w:hint="eastAsia" w:cs="仿宋_GB2312" w:asciiTheme="minorEastAsia" w:hAnsiTheme="minorEastAsia" w:eastAsiaTheme="minorEastAsia"/>
          <w:sz w:val="28"/>
          <w:szCs w:val="28"/>
          <w:highlight w:val="none"/>
        </w:rPr>
        <w:t xml:space="preserve">  因订立、履行本合同而产生的任何争议，由双方共同协商解决。如协商不成的,任何一方均有权向甲方所在地有管辖权的人民法院提起诉讼。</w:t>
      </w:r>
    </w:p>
    <w:p w14:paraId="1B01AFA9">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b/>
          <w:bCs/>
          <w:color w:val="000000"/>
          <w:sz w:val="28"/>
          <w:szCs w:val="28"/>
          <w:highlight w:val="none"/>
        </w:rPr>
      </w:pPr>
      <w:r>
        <w:rPr>
          <w:rFonts w:hint="eastAsia" w:cs="仿宋_GB2312" w:asciiTheme="minorEastAsia" w:hAnsiTheme="minorEastAsia" w:eastAsiaTheme="minorEastAsia"/>
          <w:b/>
          <w:bCs/>
          <w:color w:val="000000"/>
          <w:sz w:val="28"/>
          <w:szCs w:val="28"/>
          <w:highlight w:val="none"/>
        </w:rPr>
        <w:t>第十七条  送达</w:t>
      </w:r>
    </w:p>
    <w:p w14:paraId="0BA7E1BA">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1.本合同项下任何一方向对方发出的通知、信件、数据电文等，应当发送至下列约定的地址、联系人和通信终端。一方当事人变更名称、地址、联系人或通信终端的，应当在变更后2日内及时书面通知对方当事人，对方当事人实际收到变更通知前的送达仍为有效送达，电子送达与书面送达具有同等法律效力。</w:t>
      </w:r>
    </w:p>
    <w:p w14:paraId="6C261535">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甲方：                     乙方：</w:t>
      </w:r>
    </w:p>
    <w:p w14:paraId="434B3066">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联系人：                   联系人：</w:t>
      </w:r>
    </w:p>
    <w:p w14:paraId="4766B490">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联系电话：                 联系电话：</w:t>
      </w:r>
    </w:p>
    <w:p w14:paraId="7C894222">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联系地址：                 联系地址：</w:t>
      </w:r>
    </w:p>
    <w:p w14:paraId="3C419763">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 xml:space="preserve">邮编：                     邮编： </w:t>
      </w:r>
    </w:p>
    <w:p w14:paraId="0A68DBE4">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 xml:space="preserve">传真：                     传真： </w:t>
      </w:r>
    </w:p>
    <w:p w14:paraId="1EDDEFFE">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 xml:space="preserve">微信：                     微信： </w:t>
      </w:r>
    </w:p>
    <w:p w14:paraId="6F9BA888">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电子邮箱：                 电子邮箱：</w:t>
      </w:r>
    </w:p>
    <w:p w14:paraId="1D132DF4">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2.任何一方当事人向对方发出的信件，自信件交邮后的第2日视为送达；发出的短信／传真／微信／电子邮件，自前述电子文件内容在发送方正确填写地址且未被系统退回的情况下，视为进入对方数据电文接收系统并有效送达。若送达日为非工作日，则视为在下一工作日送达。</w:t>
      </w:r>
    </w:p>
    <w:p w14:paraId="7724ECCA">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3.本条第1款约定的地址、联系人及电子通信终端适用于双方工作联系往来、书面文件送达及争议解决时法律文书送达，人民法院的诉讼文书向合同任何一方当事人的上述地址或工商登记公示地址送达的，视为有效送达。</w:t>
      </w:r>
    </w:p>
    <w:p w14:paraId="2B1FCDBD">
      <w:pPr>
        <w:keepNext w:val="0"/>
        <w:keepLines w:val="0"/>
        <w:pageBreakBefore w:val="0"/>
        <w:widowControl w:val="0"/>
        <w:kinsoku/>
        <w:wordWrap/>
        <w:overflowPunct/>
        <w:topLinePunct w:val="0"/>
        <w:autoSpaceDE/>
        <w:autoSpaceDN/>
        <w:bidi w:val="0"/>
        <w:adjustRightInd/>
        <w:snapToGrid/>
        <w:spacing w:after="78" w:line="560" w:lineRule="exact"/>
        <w:ind w:left="0" w:leftChars="0" w:firstLine="495" w:firstLineChars="177"/>
        <w:textAlignment w:val="auto"/>
        <w:rPr>
          <w:rFonts w:hint="eastAsia" w:cs="仿宋_GB2312" w:asciiTheme="minorEastAsia" w:hAnsiTheme="minorEastAsia" w:eastAsiaTheme="minorEastAsia"/>
          <w:bCs/>
          <w:color w:val="000000"/>
          <w:sz w:val="28"/>
          <w:szCs w:val="28"/>
          <w:highlight w:val="none"/>
        </w:rPr>
      </w:pPr>
      <w:r>
        <w:rPr>
          <w:rFonts w:hint="eastAsia" w:cs="仿宋_GB2312" w:asciiTheme="minorEastAsia" w:hAnsiTheme="minorEastAsia" w:eastAsiaTheme="minorEastAsia"/>
          <w:bCs/>
          <w:color w:val="000000"/>
          <w:sz w:val="28"/>
          <w:szCs w:val="28"/>
          <w:highlight w:val="none"/>
        </w:rPr>
        <w:t>4.合同送达条款与争议解决条款均为独立条款，不受合同整体或其他条款的效力的影响。</w:t>
      </w:r>
    </w:p>
    <w:p w14:paraId="359E0291">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2"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b/>
          <w:bCs/>
          <w:sz w:val="28"/>
          <w:szCs w:val="28"/>
          <w:highlight w:val="none"/>
        </w:rPr>
        <w:t>第十八条</w:t>
      </w:r>
      <w:r>
        <w:rPr>
          <w:rFonts w:hint="eastAsia" w:cs="仿宋_GB2312" w:asciiTheme="minorEastAsia" w:hAnsiTheme="minorEastAsia" w:eastAsiaTheme="minorEastAsia"/>
          <w:sz w:val="28"/>
          <w:szCs w:val="28"/>
          <w:highlight w:val="none"/>
        </w:rPr>
        <w:t xml:space="preserve"> </w:t>
      </w:r>
    </w:p>
    <w:p w14:paraId="5E1B12D3">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1.本合同自甲乙法定代表人或授权代表双方签字、盖章之日起生效。</w:t>
      </w:r>
    </w:p>
    <w:p w14:paraId="1C25FBEB">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2.本合同一式</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份，甲方执</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份，乙方执</w:t>
      </w:r>
      <w:r>
        <w:rPr>
          <w:rFonts w:hint="eastAsia" w:cs="仿宋_GB2312" w:asciiTheme="minorEastAsia" w:hAnsiTheme="minorEastAsia" w:eastAsiaTheme="minorEastAsia"/>
          <w:sz w:val="28"/>
          <w:szCs w:val="28"/>
          <w:highlight w:val="none"/>
          <w:u w:val="single"/>
        </w:rPr>
        <w:t xml:space="preserve">    </w:t>
      </w:r>
      <w:r>
        <w:rPr>
          <w:rFonts w:hint="eastAsia" w:cs="仿宋_GB2312" w:asciiTheme="minorEastAsia" w:hAnsiTheme="minorEastAsia" w:eastAsiaTheme="minorEastAsia"/>
          <w:sz w:val="28"/>
          <w:szCs w:val="28"/>
          <w:highlight w:val="none"/>
        </w:rPr>
        <w:t>份，均具有同等法律效力。</w:t>
      </w:r>
    </w:p>
    <w:p w14:paraId="4A045B6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cs="仿宋_GB2312" w:asciiTheme="minorEastAsia" w:hAnsiTheme="minorEastAsia" w:eastAsiaTheme="minorEastAsia"/>
          <w:sz w:val="28"/>
          <w:szCs w:val="28"/>
          <w:highlight w:val="none"/>
        </w:rPr>
      </w:pPr>
    </w:p>
    <w:p w14:paraId="00EC3E2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发包人（盖章）：</w:t>
      </w:r>
    </w:p>
    <w:p w14:paraId="6E1A284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法定代表人或授权代表(签章）：</w:t>
      </w:r>
    </w:p>
    <w:p w14:paraId="31D1460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时间：</w:t>
      </w:r>
    </w:p>
    <w:p w14:paraId="369F1DC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p>
    <w:p w14:paraId="3E26210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p>
    <w:p w14:paraId="26B748A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承包人（盖章）：</w:t>
      </w:r>
    </w:p>
    <w:p w14:paraId="5CA8E03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法定代表人或授权代表(签章）：</w:t>
      </w:r>
    </w:p>
    <w:p w14:paraId="65555C5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时间：</w:t>
      </w:r>
    </w:p>
    <w:p w14:paraId="746CA50F">
      <w:pPr>
        <w:spacing w:line="560" w:lineRule="exact"/>
        <w:ind w:firstLine="640" w:firstLineChars="200"/>
        <w:jc w:val="left"/>
        <w:rPr>
          <w:rFonts w:hint="eastAsia" w:ascii="仿宋" w:hAnsi="仿宋" w:eastAsia="仿宋" w:cs="仿宋"/>
          <w:sz w:val="32"/>
          <w:szCs w:val="32"/>
        </w:rPr>
      </w:pPr>
    </w:p>
    <w:p w14:paraId="28578211">
      <w:pPr>
        <w:spacing w:line="560" w:lineRule="exact"/>
        <w:ind w:firstLine="640" w:firstLineChars="200"/>
        <w:jc w:val="left"/>
        <w:rPr>
          <w:rFonts w:hint="eastAsia" w:ascii="仿宋" w:hAnsi="仿宋" w:eastAsia="仿宋" w:cs="仿宋"/>
          <w:sz w:val="32"/>
          <w:szCs w:val="32"/>
        </w:rPr>
      </w:pPr>
    </w:p>
    <w:p w14:paraId="72CDE625">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交付验收</w:t>
      </w:r>
      <w:r>
        <w:rPr>
          <w:rFonts w:hint="eastAsia" w:ascii="仿宋" w:hAnsi="仿宋" w:eastAsia="仿宋" w:cs="仿宋"/>
          <w:sz w:val="32"/>
          <w:szCs w:val="32"/>
        </w:rPr>
        <w:t>方案</w:t>
      </w:r>
    </w:p>
    <w:p w14:paraId="2D0DE5C6">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交付验收</w:t>
      </w:r>
      <w:r>
        <w:rPr>
          <w:rFonts w:hint="eastAsia" w:ascii="仿宋" w:hAnsi="仿宋" w:eastAsia="仿宋" w:cs="仿宋"/>
          <w:sz w:val="32"/>
          <w:szCs w:val="32"/>
        </w:rPr>
        <w:t>主体</w:t>
      </w:r>
    </w:p>
    <w:p w14:paraId="3E93185B">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eq \o\ac(□,</w:instrText>
      </w:r>
      <w:r>
        <w:rPr>
          <w:rFonts w:hint="eastAsia" w:ascii="仿宋" w:hAnsi="仿宋" w:eastAsia="仿宋" w:cs="仿宋"/>
          <w:position w:val="2"/>
          <w:sz w:val="22"/>
          <w:szCs w:val="32"/>
        </w:rPr>
        <w:instrText xml:space="preserve">√</w:instrText>
      </w:r>
      <w:r>
        <w:rPr>
          <w:rFonts w:hint="eastAsia" w:ascii="仿宋" w:hAnsi="仿宋" w:eastAsia="仿宋" w:cs="仿宋"/>
          <w:sz w:val="32"/>
          <w:szCs w:val="32"/>
        </w:rPr>
        <w:instrText xml:space="preserve">)</w:instrText>
      </w:r>
      <w:r>
        <w:rPr>
          <w:rFonts w:hint="eastAsia" w:ascii="仿宋" w:hAnsi="仿宋" w:eastAsia="仿宋" w:cs="仿宋"/>
          <w:sz w:val="32"/>
          <w:szCs w:val="32"/>
        </w:rPr>
        <w:fldChar w:fldCharType="end"/>
      </w:r>
      <w:r>
        <w:rPr>
          <w:rFonts w:hint="eastAsia" w:ascii="仿宋" w:hAnsi="仿宋" w:eastAsia="仿宋" w:cs="仿宋"/>
          <w:sz w:val="32"/>
          <w:szCs w:val="32"/>
        </w:rPr>
        <w:t>采购人：</w:t>
      </w:r>
      <w:r>
        <w:rPr>
          <w:rFonts w:hint="eastAsia" w:ascii="仿宋" w:hAnsi="仿宋" w:eastAsia="仿宋" w:cs="仿宋"/>
          <w:sz w:val="32"/>
          <w:szCs w:val="32"/>
          <w:u w:val="single"/>
        </w:rPr>
        <w:t xml:space="preserve"> 深圳市宝安区消防救援大队 </w:t>
      </w:r>
    </w:p>
    <w:p w14:paraId="49CC58FD">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□采购代理机构：</w:t>
      </w:r>
      <w:r>
        <w:rPr>
          <w:rFonts w:hint="eastAsia" w:ascii="仿宋" w:hAnsi="仿宋" w:eastAsia="仿宋" w:cs="仿宋"/>
          <w:sz w:val="32"/>
          <w:szCs w:val="32"/>
          <w:u w:val="single"/>
        </w:rPr>
        <w:t xml:space="preserve">                       </w:t>
      </w:r>
    </w:p>
    <w:p w14:paraId="6B9DB713">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□本项目的其他供应商：</w:t>
      </w:r>
      <w:r>
        <w:rPr>
          <w:rFonts w:hint="eastAsia" w:ascii="仿宋" w:hAnsi="仿宋" w:eastAsia="仿宋" w:cs="仿宋"/>
          <w:sz w:val="32"/>
          <w:szCs w:val="32"/>
          <w:u w:val="single"/>
        </w:rPr>
        <w:t xml:space="preserve">                 </w:t>
      </w:r>
    </w:p>
    <w:p w14:paraId="65B581F7">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□第三方专业机构：</w:t>
      </w:r>
      <w:r>
        <w:rPr>
          <w:rFonts w:hint="eastAsia" w:ascii="仿宋" w:hAnsi="仿宋" w:eastAsia="仿宋" w:cs="仿宋"/>
          <w:sz w:val="32"/>
          <w:szCs w:val="32"/>
          <w:u w:val="single"/>
        </w:rPr>
        <w:t xml:space="preserve">                     </w:t>
      </w:r>
    </w:p>
    <w:p w14:paraId="23796197">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□专家：</w:t>
      </w:r>
      <w:r>
        <w:rPr>
          <w:rFonts w:hint="eastAsia" w:ascii="仿宋" w:hAnsi="仿宋" w:eastAsia="仿宋" w:cs="仿宋"/>
          <w:sz w:val="32"/>
          <w:szCs w:val="32"/>
          <w:u w:val="single"/>
        </w:rPr>
        <w:t xml:space="preserve">                               </w:t>
      </w:r>
    </w:p>
    <w:p w14:paraId="0431A423">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□服务对象：</w:t>
      </w:r>
      <w:r>
        <w:rPr>
          <w:rFonts w:hint="eastAsia" w:ascii="仿宋" w:hAnsi="仿宋" w:eastAsia="仿宋" w:cs="仿宋"/>
          <w:sz w:val="32"/>
          <w:szCs w:val="32"/>
          <w:u w:val="single"/>
        </w:rPr>
        <w:t xml:space="preserve">                           </w:t>
      </w:r>
    </w:p>
    <w:p w14:paraId="68CF4146">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□其他：</w:t>
      </w:r>
      <w:r>
        <w:rPr>
          <w:rFonts w:hint="eastAsia" w:ascii="仿宋" w:hAnsi="仿宋" w:eastAsia="仿宋" w:cs="仿宋"/>
          <w:sz w:val="32"/>
          <w:szCs w:val="32"/>
          <w:u w:val="single"/>
        </w:rPr>
        <w:t xml:space="preserve">                               </w:t>
      </w:r>
    </w:p>
    <w:p w14:paraId="62D17626">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交付验收</w:t>
      </w:r>
      <w:r>
        <w:rPr>
          <w:rFonts w:hint="eastAsia" w:ascii="仿宋" w:hAnsi="仿宋" w:eastAsia="仿宋" w:cs="仿宋"/>
          <w:sz w:val="32"/>
          <w:szCs w:val="32"/>
        </w:rPr>
        <w:t>时间</w:t>
      </w:r>
    </w:p>
    <w:p w14:paraId="47DA9813">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工程完工10日内，由施工方书面通知采购人组织验收</w:t>
      </w:r>
      <w:r>
        <w:rPr>
          <w:rFonts w:hint="eastAsia" w:ascii="仿宋" w:hAnsi="仿宋" w:eastAsia="仿宋" w:cs="仿宋"/>
          <w:sz w:val="32"/>
          <w:szCs w:val="32"/>
          <w:u w:val="single"/>
        </w:rPr>
        <w:t xml:space="preserve"> </w:t>
      </w:r>
    </w:p>
    <w:p w14:paraId="050EBEB1">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交付验收</w:t>
      </w:r>
      <w:r>
        <w:rPr>
          <w:rFonts w:hint="eastAsia" w:ascii="仿宋" w:hAnsi="仿宋" w:eastAsia="仿宋" w:cs="仿宋"/>
          <w:sz w:val="32"/>
          <w:szCs w:val="32"/>
        </w:rPr>
        <w:t>方式</w:t>
      </w:r>
    </w:p>
    <w:p w14:paraId="728C5BA1">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由采购人组织会议审查和实际考察，勘察单位、设计单位、监理单位和施工单位全程参与</w:t>
      </w:r>
      <w:r>
        <w:rPr>
          <w:rFonts w:hint="eastAsia" w:ascii="仿宋" w:hAnsi="仿宋" w:eastAsia="仿宋" w:cs="仿宋"/>
          <w:sz w:val="32"/>
          <w:szCs w:val="32"/>
          <w:u w:val="single"/>
        </w:rPr>
        <w:t xml:space="preserve"> </w:t>
      </w:r>
    </w:p>
    <w:p w14:paraId="7E703999">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交付验收</w:t>
      </w:r>
      <w:r>
        <w:rPr>
          <w:rFonts w:hint="eastAsia" w:ascii="仿宋" w:hAnsi="仿宋" w:eastAsia="仿宋" w:cs="仿宋"/>
          <w:sz w:val="32"/>
          <w:szCs w:val="32"/>
        </w:rPr>
        <w:t>程序</w:t>
      </w:r>
    </w:p>
    <w:p w14:paraId="5EE6513B">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组建验收小组-制定验收方案-组织验收-出具验收报告</w:t>
      </w:r>
      <w:r>
        <w:rPr>
          <w:rFonts w:hint="eastAsia" w:ascii="仿宋" w:hAnsi="仿宋" w:eastAsia="仿宋" w:cs="仿宋"/>
          <w:sz w:val="32"/>
          <w:szCs w:val="32"/>
          <w:u w:val="single"/>
        </w:rPr>
        <w:t xml:space="preserve"> </w:t>
      </w:r>
    </w:p>
    <w:p w14:paraId="4254379A">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交付验收</w:t>
      </w:r>
      <w:r>
        <w:rPr>
          <w:rFonts w:hint="eastAsia" w:ascii="仿宋" w:hAnsi="仿宋" w:eastAsia="仿宋" w:cs="仿宋"/>
          <w:sz w:val="32"/>
          <w:szCs w:val="32"/>
        </w:rPr>
        <w:t>内容</w:t>
      </w:r>
    </w:p>
    <w:p w14:paraId="134E0B92">
      <w:pPr>
        <w:spacing w:line="560" w:lineRule="exact"/>
        <w:ind w:firstLine="640" w:firstLineChars="200"/>
        <w:jc w:val="left"/>
        <w:rPr>
          <w:rFonts w:hint="default" w:ascii="仿宋" w:hAnsi="仿宋" w:eastAsia="仿宋" w:cs="仿宋"/>
          <w:iCs/>
          <w:sz w:val="32"/>
          <w:szCs w:val="32"/>
          <w:lang w:val="en-US" w:eastAsia="zh-CN"/>
        </w:rPr>
      </w:pPr>
      <w:r>
        <w:rPr>
          <w:rFonts w:hint="eastAsia" w:ascii="仿宋" w:hAnsi="仿宋" w:eastAsia="仿宋" w:cs="仿宋"/>
          <w:i w:val="0"/>
          <w:iCs/>
          <w:sz w:val="32"/>
          <w:szCs w:val="32"/>
          <w:u w:val="single"/>
          <w:lang w:val="en-US" w:eastAsia="zh-CN"/>
        </w:rPr>
        <w:t xml:space="preserve">按照工程量清单和设计图纸要求审查 </w:t>
      </w:r>
    </w:p>
    <w:p w14:paraId="7A2D0B8A">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交付验收</w:t>
      </w:r>
      <w:r>
        <w:rPr>
          <w:rFonts w:hint="eastAsia" w:ascii="仿宋" w:hAnsi="仿宋" w:eastAsia="仿宋" w:cs="仿宋"/>
          <w:sz w:val="32"/>
          <w:szCs w:val="32"/>
        </w:rPr>
        <w:t>验收标准</w:t>
      </w:r>
    </w:p>
    <w:p w14:paraId="699A0130">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工程质量合格</w:t>
      </w:r>
      <w:r>
        <w:rPr>
          <w:rFonts w:hint="eastAsia" w:ascii="仿宋" w:hAnsi="仿宋" w:eastAsia="仿宋" w:cs="仿宋"/>
          <w:sz w:val="32"/>
          <w:szCs w:val="32"/>
          <w:u w:val="single"/>
        </w:rPr>
        <w:t xml:space="preserve"> </w:t>
      </w:r>
    </w:p>
    <w:p w14:paraId="67F90492">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交付验收</w:t>
      </w:r>
      <w:r>
        <w:rPr>
          <w:rFonts w:hint="eastAsia" w:ascii="仿宋" w:hAnsi="仿宋" w:eastAsia="仿宋" w:cs="仿宋"/>
          <w:sz w:val="32"/>
          <w:szCs w:val="32"/>
        </w:rPr>
        <w:t>其他事项</w:t>
      </w:r>
    </w:p>
    <w:p w14:paraId="16CCFB93">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u w:val="single"/>
          <w:lang w:val="en-US" w:eastAsia="zh-CN"/>
        </w:rPr>
        <w:t>无</w:t>
      </w:r>
      <w:r>
        <w:rPr>
          <w:rFonts w:hint="eastAsia" w:ascii="仿宋" w:hAnsi="仿宋" w:eastAsia="仿宋" w:cs="仿宋"/>
          <w:sz w:val="32"/>
          <w:szCs w:val="32"/>
          <w:u w:val="single"/>
        </w:rPr>
        <w:t xml:space="preserve"> </w:t>
      </w:r>
    </w:p>
    <w:p w14:paraId="6C42A642">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（五）风险管控措施</w:t>
      </w:r>
    </w:p>
    <w:p w14:paraId="127DDAF6">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（1）国家政策变化应对措施：</w:t>
      </w:r>
      <w:r>
        <w:rPr>
          <w:rFonts w:hint="eastAsia" w:ascii="仿宋" w:hAnsi="仿宋" w:eastAsia="仿宋" w:cs="仿宋"/>
          <w:sz w:val="32"/>
          <w:szCs w:val="32"/>
          <w:u w:val="single"/>
        </w:rPr>
        <w:t xml:space="preserve"> 采购前开展政策合规性审查，对照最新政府采购扶持政策、产业导向等确认采购需求合规性，预留政策响应弹性条款；若采购执行期间政策调整，立即暂停相关环节，研判政策影响：若新政策要求需调整采购需求的，按规定履行变更审批程序后调整采购文件，已签订合同的，协商变更合同内容或按政策要求终止合同，相关调整同步报财政部门备案。  </w:t>
      </w:r>
    </w:p>
    <w:p w14:paraId="09FB30B4">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（2）实施环境变化应对措施：</w:t>
      </w:r>
      <w:r>
        <w:rPr>
          <w:rFonts w:hint="eastAsia" w:ascii="仿宋" w:hAnsi="仿宋" w:eastAsia="仿宋" w:cs="仿宋"/>
          <w:sz w:val="32"/>
          <w:szCs w:val="32"/>
          <w:u w:val="single"/>
        </w:rPr>
        <w:t xml:space="preserve"> 采购前开展现场勘查、需求调研，预判场地、交通、配套设施等环境因素影响，明确实施环境要求作为商务条款纳入采购需求；若实施过程中突发环境变化（如场地征用、公共事件影响等），优先评估是否可通过调整实施时间、地点降低影响，确实无法按原要求执行的，按规定调整采购需求或合同条款，涉及履约成本变动的同步开展成本核算，确保变动合规。 </w:t>
      </w:r>
    </w:p>
    <w:p w14:paraId="20E00E23">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（3）重大技术变化应对措施：</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本项目为房屋改造项目，属一般技术类型，暂不涉及重大技术变化，如实施过程确有新的重大技术变化，应</w:t>
      </w:r>
      <w:r>
        <w:rPr>
          <w:rFonts w:hint="eastAsia" w:ascii="仿宋" w:hAnsi="仿宋" w:eastAsia="仿宋" w:cs="仿宋"/>
          <w:sz w:val="32"/>
          <w:szCs w:val="32"/>
          <w:u w:val="single"/>
        </w:rPr>
        <w:t>协商采用更优技术方案，</w:t>
      </w:r>
      <w:r>
        <w:rPr>
          <w:rFonts w:hint="eastAsia" w:ascii="仿宋" w:hAnsi="仿宋" w:eastAsia="仿宋" w:cs="仿宋"/>
          <w:sz w:val="32"/>
          <w:szCs w:val="32"/>
          <w:u w:val="single"/>
          <w:lang w:val="en-US" w:eastAsia="zh-CN"/>
        </w:rPr>
        <w:t>同步</w:t>
      </w:r>
      <w:r>
        <w:rPr>
          <w:rFonts w:hint="eastAsia" w:ascii="仿宋" w:hAnsi="仿宋" w:eastAsia="仿宋" w:cs="仿宋"/>
          <w:sz w:val="32"/>
          <w:szCs w:val="32"/>
          <w:u w:val="single"/>
        </w:rPr>
        <w:t>签订补充协议</w:t>
      </w:r>
      <w:r>
        <w:rPr>
          <w:rFonts w:hint="eastAsia" w:ascii="仿宋" w:hAnsi="仿宋" w:eastAsia="仿宋" w:cs="仿宋"/>
          <w:sz w:val="32"/>
          <w:szCs w:val="32"/>
          <w:u w:val="single"/>
          <w:lang w:val="en-US" w:eastAsia="zh-CN"/>
        </w:rPr>
        <w:t>明确变动技术</w:t>
      </w:r>
      <w:r>
        <w:rPr>
          <w:rFonts w:hint="eastAsia" w:ascii="仿宋" w:hAnsi="仿宋" w:eastAsia="仿宋" w:cs="仿宋"/>
          <w:sz w:val="32"/>
          <w:szCs w:val="32"/>
          <w:u w:val="single"/>
        </w:rPr>
        <w:t xml:space="preserve">  </w:t>
      </w:r>
    </w:p>
    <w:p w14:paraId="2C2A35E6">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（4）预算项目调整应对措施：</w:t>
      </w:r>
      <w:r>
        <w:rPr>
          <w:rFonts w:hint="eastAsia" w:ascii="仿宋" w:hAnsi="仿宋" w:eastAsia="仿宋" w:cs="仿宋"/>
          <w:sz w:val="32"/>
          <w:szCs w:val="32"/>
          <w:u w:val="single"/>
        </w:rPr>
        <w:t xml:space="preserve"> 采购前确认预算批复额度、执行时限，将预算匹配性作为采购实施计划审查的必要内容；若遇预算调减、项目撤销等情况，立即终止采购活动，已发布公告的及时发布终止公告并向潜在供应商说明原因，已签订合同的，按预算调整范围协商终止合同或缩减采购规模，做好供应商沟通解释，避免产生纠纷，相关处置情况报同级财政部门。 </w:t>
      </w:r>
    </w:p>
    <w:p w14:paraId="0C8EDD89">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（5）因质疑投诉影响采购进度应对措施：</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采购文件编制阶段开展公平竞争审查，避免出现倾向性、排他性条款，提前预留质疑答复处理缓冲期；收到质疑后在法定时限内规范答复，质疑成立的及时更正采购相关环节内容；收到投诉后配合财政部门调查，若财政部门要求暂停采购的，按要求暂停相关活动，待投诉处理完毕后，根据处理结果恢复采购或调整采购安排，同步优化采购文件减少同类问题发生。</w:t>
      </w:r>
      <w:r>
        <w:rPr>
          <w:rFonts w:hint="eastAsia" w:ascii="仿宋" w:hAnsi="仿宋" w:eastAsia="仿宋" w:cs="仿宋"/>
          <w:sz w:val="32"/>
          <w:szCs w:val="32"/>
          <w:u w:val="single"/>
        </w:rPr>
        <w:t xml:space="preserve"> </w:t>
      </w:r>
    </w:p>
    <w:p w14:paraId="1FA5A554">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（6）采购失败应对措施：</w:t>
      </w:r>
      <w:r>
        <w:rPr>
          <w:rFonts w:hint="eastAsia" w:ascii="仿宋" w:hAnsi="仿宋" w:eastAsia="仿宋" w:cs="仿宋"/>
          <w:sz w:val="32"/>
          <w:szCs w:val="32"/>
          <w:u w:val="single"/>
        </w:rPr>
        <w:t xml:space="preserve"> 采购前科学合理设置供应商资格条件、评审规则，避免不合理门槛；出现有效供应商不足3家、评审作废等采购失败情形后，立即分析失败原因：若因采购需求设置不合理导致的，调整需求后重新开展采购活动；若因市场供给不足的，报财政部门批准后变更采购方式，符合单一来源采购条件的按单一来源采购流程执行。 </w:t>
      </w:r>
    </w:p>
    <w:p w14:paraId="1EB1C41B">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（7）不按规定签订或者履行合同应对措施：</w:t>
      </w:r>
      <w:r>
        <w:rPr>
          <w:rFonts w:hint="eastAsia" w:ascii="仿宋" w:hAnsi="仿宋" w:eastAsia="仿宋" w:cs="仿宋"/>
          <w:sz w:val="32"/>
          <w:szCs w:val="32"/>
          <w:u w:val="single"/>
        </w:rPr>
        <w:t xml:space="preserve"> 采购文件明确合同签订时限、履约要求及违约责任，中标通知书发出后及时督促供应商按采购文件、响应文件内容签订合同；若供应商无正当理由拒签合同，没收其投标保证金，依法确定下一候选供应商为中标供应商，或重新开展采购；若供应商履约不符合合同约定，及时催告整改，整改不到位的追究其违约责任，情节严重的纳入政府采购失信名单</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rPr>
        <w:t xml:space="preserve">  </w:t>
      </w:r>
    </w:p>
    <w:p w14:paraId="502DF33E">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（8）出现损害国家利益和社会公共利益情形应对措施：</w:t>
      </w:r>
      <w:r>
        <w:rPr>
          <w:rFonts w:hint="eastAsia" w:ascii="仿宋" w:hAnsi="仿宋" w:eastAsia="仿宋" w:cs="仿宋"/>
          <w:sz w:val="32"/>
          <w:szCs w:val="32"/>
          <w:u w:val="single"/>
        </w:rPr>
        <w:t xml:space="preserve"> </w:t>
      </w:r>
    </w:p>
    <w:p w14:paraId="2F0546C9">
      <w:pPr>
        <w:spacing w:line="56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rPr>
        <w:t xml:space="preserve"> 将保障国家利益、社会公共利益作为采购需求和合同履约的核心前提，采购及履约全过程开展相关风险排查；一旦出现相关情形，立即终止相关采购或履约活动，第一时间向财政部门及行业主管部门报告，配合相关部门调查处置，采取补救措施降低损失，涉嫌违法违纪的移送相关机关处理。  </w:t>
      </w:r>
    </w:p>
    <w:p w14:paraId="341948B0">
      <w:pPr>
        <w:spacing w:line="560" w:lineRule="exact"/>
        <w:ind w:firstLine="640" w:firstLineChars="200"/>
        <w:jc w:val="left"/>
        <w:rPr>
          <w:rFonts w:hint="eastAsia" w:ascii="仿宋" w:hAnsi="仿宋" w:eastAsia="仿宋" w:cs="仿宋"/>
        </w:rPr>
      </w:pPr>
      <w:bookmarkStart w:id="1" w:name="_GoBack"/>
      <w:bookmarkEnd w:id="1"/>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1" w:fontKey="{E44D60B1-2816-442F-8F1D-972FBE1BADE6}"/>
  </w:font>
  <w:font w:name="长城楷体">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5D1F52E-CEF7-44B1-9DC5-6D67415FF0EA}"/>
  </w:font>
  <w:font w:name="Wingdings 2">
    <w:panose1 w:val="05020102010507070707"/>
    <w:charset w:val="02"/>
    <w:family w:val="auto"/>
    <w:pitch w:val="default"/>
    <w:sig w:usb0="00000000" w:usb1="00000000" w:usb2="00000000" w:usb3="00000000" w:csb0="80000000" w:csb1="00000000"/>
    <w:embedRegular r:id="rId3" w:fontKey="{4E830FC2-8857-447E-9745-C6691416B4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182E7">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C5FF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2E4C5FF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DDCAF">
    <w:pPr>
      <w:pStyle w:val="1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3D93">
    <w:pPr>
      <w:pStyle w:val="12"/>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BF6A9">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577BF6A9">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C773">
    <w:pPr>
      <w:pStyle w:val="12"/>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FF1D7">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45AFF1D7">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D0C6">
    <w:pPr>
      <w:pStyle w:val="12"/>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4371D">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34371D">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FAC22B3A"/>
    <w:multiLevelType w:val="singleLevel"/>
    <w:tmpl w:val="FAC22B3A"/>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ZTkzOTI4MDg2MjE3NWM4ZThlN2RlZDE4M2YwNzkifQ=="/>
    <w:docVar w:name="KSO_WPS_MARK_KEY" w:val="1d13ff31-38a8-4802-a570-9defb2305fb4"/>
  </w:docVars>
  <w:rsids>
    <w:rsidRoot w:val="480C4DD3"/>
    <w:rsid w:val="002236CC"/>
    <w:rsid w:val="00416B3C"/>
    <w:rsid w:val="004B2C65"/>
    <w:rsid w:val="00A02BE6"/>
    <w:rsid w:val="01555DC0"/>
    <w:rsid w:val="03F70746"/>
    <w:rsid w:val="05F31C91"/>
    <w:rsid w:val="05FC775A"/>
    <w:rsid w:val="076A271C"/>
    <w:rsid w:val="08F008A5"/>
    <w:rsid w:val="097D31BA"/>
    <w:rsid w:val="09B5542B"/>
    <w:rsid w:val="0A174FC5"/>
    <w:rsid w:val="0AD81455"/>
    <w:rsid w:val="0D5457E9"/>
    <w:rsid w:val="0D66202D"/>
    <w:rsid w:val="0E151AB7"/>
    <w:rsid w:val="0ED57294"/>
    <w:rsid w:val="11351B2A"/>
    <w:rsid w:val="117417AC"/>
    <w:rsid w:val="12743C8B"/>
    <w:rsid w:val="127C4BE1"/>
    <w:rsid w:val="12B642B7"/>
    <w:rsid w:val="12F745D2"/>
    <w:rsid w:val="1302518F"/>
    <w:rsid w:val="13393197"/>
    <w:rsid w:val="133F4DFB"/>
    <w:rsid w:val="136E4DC3"/>
    <w:rsid w:val="15202535"/>
    <w:rsid w:val="15271294"/>
    <w:rsid w:val="15F17445"/>
    <w:rsid w:val="1610029A"/>
    <w:rsid w:val="16617760"/>
    <w:rsid w:val="16F009FC"/>
    <w:rsid w:val="190855FC"/>
    <w:rsid w:val="19FD2C86"/>
    <w:rsid w:val="1A613215"/>
    <w:rsid w:val="1B215461"/>
    <w:rsid w:val="1BE27348"/>
    <w:rsid w:val="1C061CCA"/>
    <w:rsid w:val="1C601567"/>
    <w:rsid w:val="1C9810F8"/>
    <w:rsid w:val="1CC8408C"/>
    <w:rsid w:val="1D13773F"/>
    <w:rsid w:val="1D3A0E89"/>
    <w:rsid w:val="1DE31C52"/>
    <w:rsid w:val="1E6257AE"/>
    <w:rsid w:val="1FFF1C45"/>
    <w:rsid w:val="20716543"/>
    <w:rsid w:val="212352D8"/>
    <w:rsid w:val="28773F6A"/>
    <w:rsid w:val="297949E9"/>
    <w:rsid w:val="29875D73"/>
    <w:rsid w:val="2AC567F7"/>
    <w:rsid w:val="2AD82DE9"/>
    <w:rsid w:val="2DED07ED"/>
    <w:rsid w:val="2FC55B9D"/>
    <w:rsid w:val="307C3B8E"/>
    <w:rsid w:val="30821431"/>
    <w:rsid w:val="32EE540A"/>
    <w:rsid w:val="33134E71"/>
    <w:rsid w:val="339928F7"/>
    <w:rsid w:val="33CE7AA3"/>
    <w:rsid w:val="374C2700"/>
    <w:rsid w:val="378C6DBB"/>
    <w:rsid w:val="387463B2"/>
    <w:rsid w:val="38882581"/>
    <w:rsid w:val="3A130E7B"/>
    <w:rsid w:val="3A9417F1"/>
    <w:rsid w:val="3AB23EED"/>
    <w:rsid w:val="3BBD15BE"/>
    <w:rsid w:val="3EC76BBD"/>
    <w:rsid w:val="3F470618"/>
    <w:rsid w:val="402E32EA"/>
    <w:rsid w:val="415B2A37"/>
    <w:rsid w:val="41A575DC"/>
    <w:rsid w:val="41D24C65"/>
    <w:rsid w:val="41F3580A"/>
    <w:rsid w:val="427D5E63"/>
    <w:rsid w:val="44081730"/>
    <w:rsid w:val="45A80C0E"/>
    <w:rsid w:val="45CA2B69"/>
    <w:rsid w:val="46A11BA1"/>
    <w:rsid w:val="47741293"/>
    <w:rsid w:val="47FC27FD"/>
    <w:rsid w:val="480C4DD3"/>
    <w:rsid w:val="499D17C0"/>
    <w:rsid w:val="4B1156CF"/>
    <w:rsid w:val="4B9E0914"/>
    <w:rsid w:val="4BEC7842"/>
    <w:rsid w:val="4BF37A97"/>
    <w:rsid w:val="4C8147A2"/>
    <w:rsid w:val="4CA0685E"/>
    <w:rsid w:val="4F7F3E11"/>
    <w:rsid w:val="50681F00"/>
    <w:rsid w:val="50982DC8"/>
    <w:rsid w:val="53991A67"/>
    <w:rsid w:val="546714D2"/>
    <w:rsid w:val="54B1739A"/>
    <w:rsid w:val="56677E47"/>
    <w:rsid w:val="567535C9"/>
    <w:rsid w:val="57583814"/>
    <w:rsid w:val="577B076B"/>
    <w:rsid w:val="58B30533"/>
    <w:rsid w:val="58E0583A"/>
    <w:rsid w:val="5971064D"/>
    <w:rsid w:val="5AD72BFF"/>
    <w:rsid w:val="5B236E6D"/>
    <w:rsid w:val="5B5E0C5C"/>
    <w:rsid w:val="5CD00083"/>
    <w:rsid w:val="5ED86624"/>
    <w:rsid w:val="5EE66E12"/>
    <w:rsid w:val="5EFB3521"/>
    <w:rsid w:val="5FCC011B"/>
    <w:rsid w:val="603911C4"/>
    <w:rsid w:val="615E35D8"/>
    <w:rsid w:val="616925CA"/>
    <w:rsid w:val="62474B7B"/>
    <w:rsid w:val="625D4440"/>
    <w:rsid w:val="6285225B"/>
    <w:rsid w:val="65C17402"/>
    <w:rsid w:val="66991781"/>
    <w:rsid w:val="67C24194"/>
    <w:rsid w:val="69FEABF4"/>
    <w:rsid w:val="6A096E93"/>
    <w:rsid w:val="6A206786"/>
    <w:rsid w:val="6AD477FC"/>
    <w:rsid w:val="6AE21C84"/>
    <w:rsid w:val="6AE97CB5"/>
    <w:rsid w:val="6B5B41E3"/>
    <w:rsid w:val="6D5F2918"/>
    <w:rsid w:val="70B32AA6"/>
    <w:rsid w:val="71E47133"/>
    <w:rsid w:val="74C90910"/>
    <w:rsid w:val="75F419BD"/>
    <w:rsid w:val="772A140E"/>
    <w:rsid w:val="77B27D81"/>
    <w:rsid w:val="7803238B"/>
    <w:rsid w:val="791832AD"/>
    <w:rsid w:val="79307AB8"/>
    <w:rsid w:val="7A8A7ACB"/>
    <w:rsid w:val="7B9112E5"/>
    <w:rsid w:val="7B9C11F3"/>
    <w:rsid w:val="7BF57ADD"/>
    <w:rsid w:val="7D0937BF"/>
    <w:rsid w:val="7E192908"/>
    <w:rsid w:val="7F5A2D7D"/>
    <w:rsid w:val="7FA7133A"/>
    <w:rsid w:val="B7BBBD6C"/>
    <w:rsid w:val="BE976057"/>
    <w:rsid w:val="BFF5B157"/>
    <w:rsid w:val="E77F31AB"/>
    <w:rsid w:val="EF7B1138"/>
    <w:rsid w:val="F9DF49BB"/>
    <w:rsid w:val="FB9EA894"/>
    <w:rsid w:val="FE764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体" w:cs="Times New Roman"/>
      <w:kern w:val="2"/>
      <w:sz w:val="32"/>
      <w:szCs w:val="32"/>
      <w:lang w:val="en-US" w:eastAsia="zh-CN" w:bidi="ar-SA"/>
    </w:rPr>
  </w:style>
  <w:style w:type="paragraph" w:styleId="3">
    <w:name w:val="heading 1"/>
    <w:basedOn w:val="1"/>
    <w:next w:val="1"/>
    <w:qFormat/>
    <w:uiPriority w:val="0"/>
    <w:pPr>
      <w:spacing w:before="340" w:after="330" w:line="360" w:lineRule="auto"/>
      <w:jc w:val="center"/>
      <w:outlineLvl w:val="0"/>
    </w:pPr>
    <w:rPr>
      <w:rFonts w:eastAsia="黑体"/>
      <w:kern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qFormat/>
    <w:uiPriority w:val="0"/>
    <w:pPr>
      <w:overflowPunct w:val="0"/>
      <w:autoSpaceDE w:val="0"/>
      <w:autoSpaceDN w:val="0"/>
      <w:adjustRightInd w:val="0"/>
      <w:spacing w:after="180" w:line="400" w:lineRule="atLeast"/>
      <w:ind w:firstLine="420"/>
      <w:jc w:val="left"/>
      <w:textAlignment w:val="baseline"/>
    </w:pPr>
    <w:rPr>
      <w:rFonts w:ascii="长城楷体" w:hAnsi="Times New Roman" w:eastAsia="长城楷体"/>
      <w:kern w:val="0"/>
      <w:sz w:val="28"/>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2"/>
    <w:basedOn w:val="1"/>
    <w:qFormat/>
    <w:uiPriority w:val="0"/>
    <w:pPr>
      <w:spacing w:after="120" w:line="480" w:lineRule="auto"/>
    </w:pPr>
  </w:style>
  <w:style w:type="paragraph" w:styleId="9">
    <w:name w:val="Plain Text"/>
    <w:basedOn w:val="1"/>
    <w:qFormat/>
    <w:uiPriority w:val="0"/>
    <w:rPr>
      <w:rFonts w:ascii="宋体" w:hAnsi="Courier New" w:cs="宋体"/>
      <w:kern w:val="0"/>
      <w:sz w:val="20"/>
      <w:szCs w:val="20"/>
    </w:rPr>
  </w:style>
  <w:style w:type="paragraph" w:styleId="10">
    <w:name w:val="Body Text Indent 2"/>
    <w:basedOn w:val="1"/>
    <w:qFormat/>
    <w:uiPriority w:val="99"/>
    <w:pPr>
      <w:ind w:firstLine="570"/>
    </w:pPr>
    <w:rPr>
      <w:kern w:val="0"/>
      <w:sz w:val="24"/>
    </w:rPr>
  </w:style>
  <w:style w:type="paragraph" w:styleId="11">
    <w:name w:val="Balloon Text"/>
    <w:basedOn w:val="1"/>
    <w:unhideWhenUsed/>
    <w:qFormat/>
    <w:uiPriority w:val="99"/>
    <w:rPr>
      <w:rFonts w:ascii="Times New Roman" w:hAnsi="Times New Roman" w:eastAsia="宋体" w:cs="Times New Roman"/>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Autospacing="1" w:afterAutospacing="1"/>
      <w:jc w:val="left"/>
    </w:pPr>
    <w:rPr>
      <w:kern w:val="0"/>
      <w:sz w:val="24"/>
    </w:rPr>
  </w:style>
  <w:style w:type="character" w:styleId="17">
    <w:name w:val="Strong"/>
    <w:basedOn w:val="16"/>
    <w:qFormat/>
    <w:uiPriority w:val="0"/>
    <w:rPr>
      <w:b/>
    </w:rPr>
  </w:style>
  <w:style w:type="character" w:styleId="18">
    <w:name w:val="annotation reference"/>
    <w:basedOn w:val="16"/>
    <w:qFormat/>
    <w:uiPriority w:val="99"/>
    <w:rPr>
      <w:sz w:val="21"/>
      <w:szCs w:val="21"/>
    </w:rPr>
  </w:style>
  <w:style w:type="paragraph" w:customStyle="1" w:styleId="19">
    <w:name w:val="彩色列表 - 强调文字颜色 111"/>
    <w:basedOn w:val="1"/>
    <w:qFormat/>
    <w:uiPriority w:val="0"/>
    <w:pPr>
      <w:ind w:firstLine="420" w:firstLineChars="200"/>
    </w:pPr>
  </w:style>
  <w:style w:type="character" w:customStyle="1" w:styleId="20">
    <w:name w:val="fontstyle01"/>
    <w:basedOn w:val="16"/>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5860</Words>
  <Characters>5986</Characters>
  <Lines>0</Lines>
  <Paragraphs>0</Paragraphs>
  <TotalTime>3</TotalTime>
  <ScaleCrop>false</ScaleCrop>
  <LinksUpToDate>false</LinksUpToDate>
  <CharactersWithSpaces>6173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2022-06-08T06:32:00Z</dcterms:created>
  <dcterms:modified xsi:type="dcterms:W3CDTF">2026-06-02T10:23:43Z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80366C2CD20D42C3AF0BD3296E9D2A71_13</vt:lpwstr>
  </property>
  <property fmtid="{D5CDD505-2E9C-101B-9397-08002B2CF9AE}" pid="4" name="KSOTemplateDocerSaveRecord">
    <vt:lpwstr>eyJoZGlkIjoiMTBjNmE1NDI5MjBjM2IxYTc0MTM1YjNmMWY0YTg3ZDkiLCJ1c2VySWQiOiIzMjU1NTMwNDMifQ==</vt:lpwstr>
  </property>
</Properties>
</file>