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63939">
      <w:pPr>
        <w:adjustRightInd w:val="0"/>
        <w:snapToGrid w:val="0"/>
        <w:spacing w:line="560" w:lineRule="exact"/>
        <w:outlineLvl w:val="0"/>
        <w:rPr>
          <w:rFonts w:ascii="仿宋" w:hAnsi="仿宋" w:eastAsia="仿宋" w:cs="仿宋"/>
          <w:color w:val="auto"/>
        </w:rPr>
      </w:pPr>
      <w:bookmarkStart w:id="0" w:name="_Toc20384570"/>
      <w:r>
        <w:rPr>
          <w:rFonts w:hint="eastAsia" w:ascii="仿宋" w:hAnsi="仿宋" w:eastAsia="仿宋" w:cs="仿宋"/>
          <w:color w:val="auto"/>
        </w:rPr>
        <w:t>附件7</w:t>
      </w:r>
    </w:p>
    <w:p w14:paraId="37840757">
      <w:pPr>
        <w:spacing w:line="240" w:lineRule="auto"/>
        <w:ind w:firstLine="880"/>
        <w:jc w:val="center"/>
        <w:rPr>
          <w:rFonts w:ascii="仿宋" w:hAnsi="仿宋" w:eastAsia="仿宋" w:cs="仿宋"/>
          <w:color w:val="auto"/>
          <w:sz w:val="44"/>
          <w:szCs w:val="44"/>
          <w:u w:val="single"/>
        </w:rPr>
      </w:pPr>
    </w:p>
    <w:p w14:paraId="1284607F">
      <w:pPr>
        <w:spacing w:line="240" w:lineRule="auto"/>
        <w:jc w:val="both"/>
        <w:rPr>
          <w:rFonts w:hint="eastAsia" w:ascii="仿宋" w:hAnsi="仿宋" w:eastAsia="仿宋" w:cs="仿宋"/>
          <w:color w:val="auto"/>
          <w:sz w:val="72"/>
          <w:szCs w:val="44"/>
        </w:rPr>
      </w:pPr>
    </w:p>
    <w:p w14:paraId="04786183">
      <w:pPr>
        <w:spacing w:line="240" w:lineRule="auto"/>
        <w:ind w:firstLine="2160" w:firstLineChars="300"/>
        <w:jc w:val="both"/>
        <w:rPr>
          <w:rFonts w:ascii="仿宋" w:hAnsi="仿宋" w:eastAsia="仿宋" w:cs="仿宋"/>
          <w:color w:val="auto"/>
          <w:sz w:val="72"/>
          <w:szCs w:val="44"/>
        </w:rPr>
      </w:pPr>
      <w:r>
        <w:rPr>
          <w:rFonts w:hint="eastAsia" w:ascii="仿宋" w:hAnsi="仿宋" w:eastAsia="仿宋" w:cs="仿宋"/>
          <w:color w:val="auto"/>
          <w:sz w:val="72"/>
          <w:szCs w:val="44"/>
        </w:rPr>
        <w:t>政府采购项目</w:t>
      </w:r>
    </w:p>
    <w:p w14:paraId="19DF6A93">
      <w:pPr>
        <w:spacing w:line="240" w:lineRule="auto"/>
        <w:ind w:firstLine="2160" w:firstLineChars="300"/>
        <w:jc w:val="both"/>
        <w:rPr>
          <w:rFonts w:hint="eastAsia" w:ascii="仿宋" w:hAnsi="仿宋" w:eastAsia="仿宋" w:cs="仿宋"/>
          <w:color w:val="auto"/>
          <w:sz w:val="72"/>
          <w:szCs w:val="44"/>
        </w:rPr>
      </w:pPr>
      <w:r>
        <w:rPr>
          <w:rFonts w:hint="eastAsia" w:ascii="仿宋" w:hAnsi="仿宋" w:eastAsia="仿宋" w:cs="仿宋"/>
          <w:color w:val="auto"/>
          <w:sz w:val="72"/>
          <w:szCs w:val="44"/>
        </w:rPr>
        <w:t>采 购 需 求</w:t>
      </w:r>
    </w:p>
    <w:p w14:paraId="074509F8">
      <w:pPr>
        <w:pStyle w:val="17"/>
      </w:pPr>
    </w:p>
    <w:p w14:paraId="4E84BB53">
      <w:pPr>
        <w:spacing w:line="240" w:lineRule="auto"/>
        <w:ind w:firstLine="880"/>
        <w:jc w:val="center"/>
        <w:rPr>
          <w:rFonts w:ascii="仿宋" w:hAnsi="仿宋" w:eastAsia="仿宋" w:cs="仿宋"/>
          <w:color w:val="auto"/>
          <w:sz w:val="44"/>
          <w:szCs w:val="44"/>
        </w:rPr>
      </w:pPr>
    </w:p>
    <w:p w14:paraId="50AD3A33">
      <w:pPr>
        <w:spacing w:line="240" w:lineRule="auto"/>
        <w:ind w:left="0" w:leftChars="0" w:firstLine="960" w:firstLineChars="300"/>
        <w:rPr>
          <w:rFonts w:ascii="仿宋" w:hAnsi="仿宋" w:eastAsia="仿宋" w:cs="仿宋"/>
          <w:color w:val="auto"/>
          <w:u w:val="single"/>
        </w:rPr>
      </w:pPr>
      <w:r>
        <w:rPr>
          <w:rFonts w:hint="eastAsia" w:ascii="仿宋" w:hAnsi="仿宋" w:eastAsia="仿宋" w:cs="仿宋"/>
          <w:color w:val="auto"/>
        </w:rPr>
        <w:t>项目名称：</w:t>
      </w:r>
      <w:r>
        <w:rPr>
          <w:rFonts w:hint="eastAsia" w:ascii="仿宋" w:hAnsi="仿宋" w:eastAsia="仿宋" w:cs="仿宋"/>
          <w:color w:val="auto"/>
          <w:u w:val="single"/>
          <w:lang w:val="en-US" w:eastAsia="zh-CN"/>
        </w:rPr>
        <w:t xml:space="preserve"> 广东省深圳市龙岗区消防救援大队龙岗区电动自行车智慧防控系统项目</w:t>
      </w:r>
      <w:r>
        <w:rPr>
          <w:rFonts w:hint="eastAsia" w:ascii="仿宋" w:hAnsi="仿宋" w:eastAsia="仿宋" w:cs="仿宋"/>
          <w:color w:val="auto"/>
          <w:u w:val="single"/>
        </w:rPr>
        <w:t xml:space="preserve">                  </w:t>
      </w:r>
    </w:p>
    <w:p w14:paraId="31D20ED9">
      <w:pPr>
        <w:spacing w:line="240" w:lineRule="auto"/>
        <w:ind w:firstLine="960" w:firstLineChars="300"/>
        <w:rPr>
          <w:rFonts w:ascii="仿宋" w:hAnsi="仿宋" w:eastAsia="仿宋" w:cs="仿宋"/>
          <w:color w:val="auto"/>
          <w:u w:val="single"/>
        </w:rPr>
      </w:pPr>
      <w:r>
        <w:rPr>
          <w:rFonts w:hint="eastAsia" w:ascii="仿宋" w:hAnsi="仿宋" w:eastAsia="仿宋" w:cs="仿宋"/>
          <w:color w:val="auto"/>
        </w:rPr>
        <w:t>采购单位：</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深圳市龙岗区消防救援大队</w:t>
      </w:r>
      <w:r>
        <w:rPr>
          <w:rFonts w:hint="eastAsia" w:ascii="仿宋" w:hAnsi="仿宋" w:eastAsia="仿宋" w:cs="仿宋"/>
          <w:color w:val="auto"/>
          <w:u w:val="single"/>
        </w:rPr>
        <w:t xml:space="preserve">                    </w:t>
      </w:r>
    </w:p>
    <w:p w14:paraId="2C8BF124">
      <w:pPr>
        <w:spacing w:line="240" w:lineRule="auto"/>
        <w:ind w:firstLine="960" w:firstLineChars="300"/>
        <w:rPr>
          <w:rFonts w:ascii="仿宋" w:hAnsi="仿宋" w:eastAsia="仿宋" w:cs="仿宋"/>
          <w:color w:val="auto"/>
          <w:u w:val="single"/>
        </w:rPr>
      </w:pPr>
      <w:r>
        <w:rPr>
          <w:rFonts w:hint="eastAsia" w:ascii="仿宋" w:hAnsi="仿宋" w:eastAsia="仿宋" w:cs="仿宋"/>
          <w:color w:val="auto"/>
        </w:rPr>
        <w:t>编制单位：</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深圳市龙岗区消防救援大队</w:t>
      </w:r>
      <w:r>
        <w:rPr>
          <w:rFonts w:hint="eastAsia" w:ascii="仿宋" w:hAnsi="仿宋" w:eastAsia="仿宋" w:cs="仿宋"/>
          <w:color w:val="auto"/>
          <w:u w:val="single"/>
        </w:rPr>
        <w:t xml:space="preserve">                     </w:t>
      </w:r>
    </w:p>
    <w:p w14:paraId="097081E8">
      <w:pPr>
        <w:spacing w:line="240" w:lineRule="auto"/>
        <w:ind w:firstLine="960" w:firstLineChars="300"/>
        <w:rPr>
          <w:rFonts w:ascii="仿宋" w:hAnsi="仿宋" w:eastAsia="仿宋" w:cs="仿宋"/>
          <w:color w:val="auto"/>
          <w:u w:val="single"/>
        </w:rPr>
      </w:pPr>
      <w:r>
        <w:rPr>
          <w:rFonts w:hint="eastAsia" w:ascii="仿宋" w:hAnsi="仿宋" w:eastAsia="仿宋" w:cs="仿宋"/>
          <w:color w:val="auto"/>
        </w:rPr>
        <w:t>编制时间：</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2025年12月16日</w:t>
      </w:r>
      <w:r>
        <w:rPr>
          <w:rFonts w:hint="eastAsia" w:ascii="仿宋" w:hAnsi="仿宋" w:eastAsia="仿宋" w:cs="仿宋"/>
          <w:color w:val="auto"/>
          <w:u w:val="single"/>
        </w:rPr>
        <w:t xml:space="preserve">                    </w:t>
      </w:r>
    </w:p>
    <w:p w14:paraId="6409BC57">
      <w:pPr>
        <w:spacing w:line="240" w:lineRule="auto"/>
        <w:ind w:firstLine="880"/>
        <w:rPr>
          <w:rFonts w:ascii="仿宋" w:hAnsi="仿宋" w:eastAsia="仿宋" w:cs="仿宋"/>
          <w:color w:val="auto"/>
          <w:sz w:val="44"/>
          <w:szCs w:val="44"/>
        </w:rPr>
      </w:pPr>
    </w:p>
    <w:p w14:paraId="0D73F431">
      <w:pPr>
        <w:spacing w:line="240" w:lineRule="auto"/>
        <w:ind w:firstLine="880"/>
        <w:rPr>
          <w:rFonts w:ascii="仿宋" w:hAnsi="仿宋" w:eastAsia="仿宋" w:cs="仿宋"/>
          <w:color w:val="auto"/>
          <w:sz w:val="44"/>
          <w:szCs w:val="44"/>
        </w:rPr>
        <w:sectPr>
          <w:footerReference r:id="rId3" w:type="default"/>
          <w:footerReference r:id="rId4" w:type="even"/>
          <w:pgSz w:w="11906" w:h="16838"/>
          <w:pgMar w:top="1440" w:right="1800" w:bottom="1440" w:left="1800" w:header="851" w:footer="992" w:gutter="0"/>
          <w:pgNumType w:fmt="decimal" w:start="1"/>
          <w:cols w:space="425" w:num="1"/>
          <w:docGrid w:type="lines" w:linePitch="312" w:charSpace="0"/>
        </w:sectPr>
      </w:pPr>
    </w:p>
    <w:p w14:paraId="33E01679">
      <w:pPr>
        <w:spacing w:line="560" w:lineRule="exact"/>
        <w:ind w:firstLine="880"/>
        <w:jc w:val="center"/>
        <w:rPr>
          <w:rFonts w:ascii="仿宋" w:hAnsi="仿宋" w:eastAsia="仿宋" w:cs="仿宋"/>
          <w:color w:val="auto"/>
          <w:sz w:val="44"/>
          <w:szCs w:val="44"/>
        </w:rPr>
      </w:pPr>
      <w:r>
        <w:rPr>
          <w:rFonts w:hint="eastAsia" w:ascii="仿宋" w:hAnsi="仿宋" w:eastAsia="仿宋" w:cs="仿宋"/>
          <w:color w:val="auto"/>
          <w:sz w:val="44"/>
          <w:szCs w:val="44"/>
        </w:rPr>
        <w:t>编 制 说 明</w:t>
      </w:r>
    </w:p>
    <w:p w14:paraId="2F814825">
      <w:pPr>
        <w:spacing w:line="560" w:lineRule="exact"/>
        <w:ind w:firstLine="640" w:firstLineChars="200"/>
        <w:rPr>
          <w:rFonts w:ascii="仿宋" w:hAnsi="仿宋" w:eastAsia="仿宋" w:cs="仿宋"/>
          <w:color w:val="auto"/>
        </w:rPr>
      </w:pPr>
    </w:p>
    <w:p w14:paraId="093AD42A">
      <w:pPr>
        <w:spacing w:line="560" w:lineRule="exact"/>
        <w:ind w:firstLine="640" w:firstLineChars="200"/>
        <w:rPr>
          <w:rFonts w:ascii="仿宋" w:hAnsi="仿宋" w:eastAsia="仿宋" w:cs="仿宋"/>
          <w:color w:val="auto"/>
        </w:rPr>
      </w:pPr>
      <w:r>
        <w:rPr>
          <w:rFonts w:hint="eastAsia" w:ascii="仿宋" w:hAnsi="仿宋" w:eastAsia="仿宋" w:cs="仿宋"/>
          <w:color w:val="auto"/>
        </w:rPr>
        <w:t>一、采购单位可以自行组织编制采购需求，也可以委托采购代理机构或者其他第三方机构编制。</w:t>
      </w:r>
    </w:p>
    <w:p w14:paraId="2FF36FBE">
      <w:pPr>
        <w:spacing w:line="560" w:lineRule="exact"/>
        <w:ind w:firstLine="640" w:firstLineChars="200"/>
        <w:rPr>
          <w:rFonts w:ascii="仿宋" w:hAnsi="仿宋" w:eastAsia="仿宋" w:cs="仿宋"/>
          <w:color w:val="auto"/>
        </w:rPr>
      </w:pPr>
      <w:r>
        <w:rPr>
          <w:rFonts w:hint="eastAsia" w:ascii="仿宋" w:hAnsi="仿宋" w:eastAsia="仿宋" w:cs="仿宋"/>
          <w:color w:val="auto"/>
        </w:rPr>
        <w:t>二、编制的采购需求应当符合《财政部关于印发政府采购需求管理办法的通知》</w:t>
      </w:r>
      <w:bookmarkStart w:id="2" w:name="_GoBack"/>
      <w:bookmarkEnd w:id="2"/>
      <w:r>
        <w:rPr>
          <w:rFonts w:hint="eastAsia" w:ascii="仿宋" w:hAnsi="仿宋" w:eastAsia="仿宋" w:cs="仿宋"/>
          <w:color w:val="auto"/>
        </w:rPr>
        <w:t>（财库〔2021〕22号）要求及政府采购的相关规定。</w:t>
      </w:r>
    </w:p>
    <w:p w14:paraId="4593F4B1">
      <w:pPr>
        <w:spacing w:line="560" w:lineRule="exact"/>
        <w:ind w:firstLine="640" w:firstLineChars="200"/>
        <w:outlineLvl w:val="0"/>
        <w:rPr>
          <w:rFonts w:ascii="仿宋" w:hAnsi="仿宋" w:eastAsia="仿宋" w:cs="仿宋"/>
          <w:color w:val="auto"/>
        </w:rPr>
      </w:pPr>
      <w:r>
        <w:rPr>
          <w:rFonts w:hint="eastAsia" w:ascii="仿宋" w:hAnsi="仿宋" w:eastAsia="仿宋" w:cs="仿宋"/>
          <w:color w:val="auto"/>
        </w:rPr>
        <w:t>三、斜体字部分属于提醒内容，编制时应删除。</w:t>
      </w:r>
    </w:p>
    <w:p w14:paraId="54AF582B">
      <w:pPr>
        <w:spacing w:line="560" w:lineRule="exact"/>
        <w:ind w:firstLine="640" w:firstLineChars="200"/>
        <w:rPr>
          <w:rFonts w:ascii="仿宋" w:hAnsi="仿宋" w:eastAsia="仿宋" w:cs="仿宋"/>
          <w:color w:val="auto"/>
        </w:rPr>
      </w:pPr>
      <w:r>
        <w:rPr>
          <w:rFonts w:hint="eastAsia" w:ascii="仿宋" w:hAnsi="仿宋" w:eastAsia="仿宋" w:cs="仿宋"/>
          <w:color w:val="auto"/>
        </w:rPr>
        <w:t>四、对不适用的内容应删除，并调整相应序号。</w:t>
      </w:r>
    </w:p>
    <w:p w14:paraId="00003BEB">
      <w:pPr>
        <w:spacing w:line="560" w:lineRule="exact"/>
        <w:rPr>
          <w:rFonts w:ascii="仿宋" w:hAnsi="仿宋" w:eastAsia="仿宋" w:cs="仿宋"/>
          <w:color w:val="auto"/>
        </w:rPr>
        <w:sectPr>
          <w:footerReference r:id="rId5" w:type="default"/>
          <w:pgSz w:w="11906" w:h="16838"/>
          <w:pgMar w:top="1440" w:right="1800" w:bottom="1440" w:left="1800" w:header="851" w:footer="992" w:gutter="0"/>
          <w:pgNumType w:fmt="decimal"/>
          <w:cols w:space="425" w:num="1"/>
          <w:docGrid w:type="lines" w:linePitch="312" w:charSpace="0"/>
        </w:sectPr>
      </w:pPr>
    </w:p>
    <w:p w14:paraId="3A35C2FF">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rPr>
        <w:t>一、需求调查情况</w:t>
      </w:r>
    </w:p>
    <w:p w14:paraId="5110DFE4">
      <w:pPr>
        <w:spacing w:line="560" w:lineRule="exact"/>
        <w:ind w:firstLine="640" w:firstLineChars="200"/>
        <w:jc w:val="left"/>
        <w:outlineLvl w:val="1"/>
        <w:rPr>
          <w:rFonts w:ascii="仿宋" w:hAnsi="仿宋" w:eastAsia="仿宋" w:cs="仿宋"/>
          <w:color w:val="auto"/>
        </w:rPr>
      </w:pPr>
      <w:r>
        <w:rPr>
          <w:rFonts w:hint="eastAsia" w:ascii="仿宋" w:hAnsi="仿宋" w:eastAsia="仿宋" w:cs="仿宋"/>
          <w:color w:val="auto"/>
        </w:rPr>
        <w:t>（一）是否开展需求调查</w:t>
      </w:r>
    </w:p>
    <w:p w14:paraId="0D5920AB">
      <w:pPr>
        <w:spacing w:line="560" w:lineRule="exact"/>
        <w:ind w:firstLine="640" w:firstLineChars="200"/>
        <w:jc w:val="left"/>
        <w:rPr>
          <w:rFonts w:hint="eastAsia" w:ascii="仿宋" w:hAnsi="仿宋" w:eastAsia="仿宋" w:cs="仿宋"/>
          <w:i/>
          <w:color w:val="auto"/>
          <w:u w:val="single"/>
          <w:lang w:val="en-US" w:eastAsia="zh-CN"/>
        </w:rPr>
      </w:pPr>
      <w:r>
        <w:rPr>
          <w:rFonts w:hint="eastAsia" w:ascii="仿宋" w:hAnsi="仿宋" w:eastAsia="仿宋" w:cs="仿宋"/>
          <w:i/>
          <w:iCs w:val="0"/>
          <w:color w:val="auto"/>
          <w:u w:val="single"/>
          <w:lang w:val="en-US" w:eastAsia="zh-CN"/>
        </w:rPr>
        <w:t>否</w:t>
      </w:r>
      <w:r>
        <w:rPr>
          <w:rFonts w:hint="eastAsia" w:ascii="仿宋" w:hAnsi="仿宋" w:eastAsia="仿宋" w:cs="仿宋"/>
          <w:i/>
          <w:color w:val="auto"/>
          <w:u w:val="single"/>
          <w:lang w:val="en-US" w:eastAsia="zh-CN"/>
        </w:rPr>
        <w:t>。</w:t>
      </w:r>
    </w:p>
    <w:p w14:paraId="067DD2F2">
      <w:pPr>
        <w:spacing w:line="560" w:lineRule="exact"/>
        <w:ind w:firstLine="640" w:firstLineChars="200"/>
        <w:jc w:val="left"/>
        <w:outlineLvl w:val="0"/>
        <w:rPr>
          <w:rFonts w:ascii="仿宋" w:hAnsi="仿宋" w:eastAsia="仿宋" w:cs="仿宋"/>
          <w:color w:val="auto"/>
        </w:rPr>
      </w:pPr>
      <w:r>
        <w:rPr>
          <w:rFonts w:hint="eastAsia" w:ascii="仿宋" w:hAnsi="仿宋" w:eastAsia="仿宋" w:cs="仿宋"/>
          <w:color w:val="auto"/>
        </w:rPr>
        <w:t>二、需求清单</w:t>
      </w:r>
    </w:p>
    <w:p w14:paraId="633845A0">
      <w:pPr>
        <w:spacing w:line="560" w:lineRule="exact"/>
        <w:ind w:firstLine="640" w:firstLineChars="200"/>
        <w:jc w:val="left"/>
        <w:outlineLvl w:val="1"/>
        <w:rPr>
          <w:rFonts w:ascii="仿宋" w:hAnsi="仿宋" w:eastAsia="仿宋" w:cs="仿宋"/>
          <w:color w:val="auto"/>
        </w:rPr>
      </w:pPr>
      <w:r>
        <w:rPr>
          <w:rFonts w:hint="eastAsia" w:ascii="仿宋" w:hAnsi="仿宋" w:eastAsia="仿宋" w:cs="仿宋"/>
          <w:color w:val="auto"/>
        </w:rPr>
        <w:t>（一）项目概况</w:t>
      </w:r>
    </w:p>
    <w:p w14:paraId="7C7EE7CD">
      <w:pPr>
        <w:spacing w:line="560" w:lineRule="exact"/>
        <w:ind w:firstLine="640" w:firstLineChars="200"/>
        <w:jc w:val="left"/>
        <w:rPr>
          <w:rFonts w:hint="eastAsia" w:ascii="仿宋" w:hAnsi="仿宋" w:eastAsia="仿宋" w:cs="仿宋"/>
          <w:color w:val="auto"/>
          <w:u w:val="single"/>
          <w:lang w:eastAsia="zh-CN"/>
        </w:rPr>
      </w:pPr>
      <w:r>
        <w:rPr>
          <w:rFonts w:hint="eastAsia" w:ascii="仿宋" w:hAnsi="仿宋" w:eastAsia="仿宋" w:cs="仿宋"/>
          <w:color w:val="auto"/>
          <w:highlight w:val="none"/>
          <w:u w:val="single"/>
        </w:rPr>
        <w:t>鉴于龙岗区电动自行车保有量庞大，充电设施存在监管无抓手、事件滞后等痛点问题，以及政策对充换电设施安全管控的要求，通过接入龙岗区电动自行车充换电设施数据，构建一个统一接入、监测管理、智能预警、闭环管理的龙岗区电动自行车智慧防控系统。以此提升充换电场站安全隐患的早发现、早预警、早处置能力，实现“事前预警、事中可控、事后可溯”的主动、智能监管模式。提升全区充换电场站的安全水平，助力城市安全发展。</w:t>
      </w:r>
    </w:p>
    <w:p w14:paraId="1EF603DC">
      <w:pPr>
        <w:spacing w:line="560" w:lineRule="exact"/>
        <w:ind w:firstLine="640" w:firstLineChars="200"/>
        <w:jc w:val="left"/>
        <w:outlineLvl w:val="1"/>
        <w:rPr>
          <w:rFonts w:ascii="仿宋" w:hAnsi="仿宋" w:eastAsia="仿宋" w:cs="仿宋"/>
          <w:color w:val="auto"/>
        </w:rPr>
      </w:pPr>
      <w:r>
        <w:rPr>
          <w:rFonts w:hint="eastAsia" w:ascii="仿宋" w:hAnsi="仿宋" w:eastAsia="仿宋" w:cs="仿宋"/>
          <w:color w:val="auto"/>
        </w:rPr>
        <w:t>（二）采购项目预（概）算</w:t>
      </w:r>
    </w:p>
    <w:p w14:paraId="5A9E196A">
      <w:pPr>
        <w:spacing w:line="560" w:lineRule="exact"/>
        <w:ind w:firstLine="640" w:firstLineChars="200"/>
        <w:jc w:val="left"/>
        <w:rPr>
          <w:rFonts w:ascii="仿宋" w:hAnsi="仿宋" w:eastAsia="仿宋" w:cs="仿宋"/>
          <w:color w:val="auto"/>
          <w:u w:val="single"/>
        </w:rPr>
      </w:pPr>
      <w:r>
        <w:rPr>
          <w:rFonts w:hint="eastAsia" w:ascii="仿宋" w:hAnsi="仿宋" w:eastAsia="仿宋" w:cs="仿宋"/>
          <w:color w:val="auto"/>
        </w:rPr>
        <w:t>总 预 算</w:t>
      </w:r>
      <w:r>
        <w:rPr>
          <w:rFonts w:hint="eastAsia" w:ascii="仿宋" w:hAnsi="仿宋" w:eastAsia="仿宋" w:cs="仿宋"/>
          <w:color w:val="auto"/>
          <w:lang w:eastAsia="zh-CN"/>
        </w:rPr>
        <w:t>：</w:t>
      </w:r>
      <w:r>
        <w:rPr>
          <w:rFonts w:hint="default" w:ascii="宋体" w:hAnsi="宋体"/>
          <w:bCs/>
          <w:color w:val="auto"/>
          <w:szCs w:val="21"/>
          <w:highlight w:val="none"/>
          <w:u w:val="single"/>
          <w:lang w:val="en-US" w:eastAsia="zh-CN"/>
        </w:rPr>
        <w:t>1587100</w:t>
      </w:r>
      <w:r>
        <w:rPr>
          <w:rFonts w:hint="eastAsia" w:ascii="宋体" w:hAnsi="宋体" w:eastAsia="仿宋" w:cs="仿宋"/>
          <w:bCs/>
          <w:color w:val="auto"/>
          <w:szCs w:val="21"/>
          <w:highlight w:val="none"/>
          <w:u w:val="single"/>
          <w:lang w:val="en-US" w:eastAsia="zh-CN"/>
        </w:rPr>
        <w:t>.00</w:t>
      </w:r>
      <w:r>
        <w:rPr>
          <w:rFonts w:hint="eastAsia" w:ascii="仿宋" w:hAnsi="仿宋" w:eastAsia="仿宋" w:cs="仿宋"/>
          <w:color w:val="auto"/>
          <w:u w:val="single"/>
          <w:lang w:val="en-US" w:eastAsia="zh-CN"/>
        </w:rPr>
        <w:t>元</w:t>
      </w:r>
    </w:p>
    <w:p w14:paraId="1789FAF8">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rPr>
        <w:t>（三）采购标的汇总表</w:t>
      </w:r>
    </w:p>
    <w:tbl>
      <w:tblPr>
        <w:tblStyle w:val="18"/>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2517"/>
        <w:gridCol w:w="1590"/>
        <w:gridCol w:w="2055"/>
        <w:gridCol w:w="881"/>
        <w:gridCol w:w="758"/>
        <w:gridCol w:w="937"/>
      </w:tblGrid>
      <w:tr w14:paraId="7A9E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499" w:type="dxa"/>
            <w:vAlign w:val="center"/>
          </w:tcPr>
          <w:p w14:paraId="5DCFD46D">
            <w:pPr>
              <w:spacing w:line="560" w:lineRule="exact"/>
              <w:jc w:val="center"/>
              <w:rPr>
                <w:rFonts w:ascii="仿宋" w:hAnsi="仿宋" w:eastAsia="仿宋" w:cs="仿宋"/>
                <w:b/>
                <w:color w:val="auto"/>
                <w:sz w:val="32"/>
                <w:szCs w:val="32"/>
              </w:rPr>
            </w:pPr>
            <w:r>
              <w:rPr>
                <w:rFonts w:hint="eastAsia" w:ascii="仿宋" w:hAnsi="仿宋" w:eastAsia="仿宋" w:cs="仿宋"/>
                <w:b/>
                <w:color w:val="auto"/>
                <w:sz w:val="32"/>
                <w:szCs w:val="32"/>
              </w:rPr>
              <w:t>序号</w:t>
            </w:r>
          </w:p>
        </w:tc>
        <w:tc>
          <w:tcPr>
            <w:tcW w:w="2517" w:type="dxa"/>
            <w:vAlign w:val="center"/>
          </w:tcPr>
          <w:p w14:paraId="552AE361">
            <w:pPr>
              <w:spacing w:line="560" w:lineRule="exact"/>
              <w:jc w:val="center"/>
              <w:rPr>
                <w:rFonts w:ascii="仿宋" w:hAnsi="仿宋" w:eastAsia="仿宋" w:cs="仿宋"/>
                <w:b/>
                <w:color w:val="auto"/>
                <w:sz w:val="32"/>
                <w:szCs w:val="32"/>
              </w:rPr>
            </w:pPr>
            <w:r>
              <w:rPr>
                <w:rFonts w:hint="eastAsia" w:ascii="仿宋" w:hAnsi="仿宋" w:eastAsia="仿宋" w:cs="仿宋"/>
                <w:b/>
                <w:color w:val="auto"/>
                <w:sz w:val="32"/>
                <w:szCs w:val="32"/>
              </w:rPr>
              <w:t>标的名称</w:t>
            </w:r>
          </w:p>
        </w:tc>
        <w:tc>
          <w:tcPr>
            <w:tcW w:w="1590" w:type="dxa"/>
            <w:vAlign w:val="center"/>
          </w:tcPr>
          <w:p w14:paraId="53024BC5">
            <w:pPr>
              <w:spacing w:line="560" w:lineRule="exact"/>
              <w:jc w:val="center"/>
              <w:rPr>
                <w:rFonts w:ascii="仿宋" w:hAnsi="仿宋" w:eastAsia="仿宋" w:cs="仿宋"/>
                <w:b/>
                <w:color w:val="auto"/>
                <w:sz w:val="32"/>
                <w:szCs w:val="32"/>
              </w:rPr>
            </w:pPr>
            <w:r>
              <w:rPr>
                <w:rFonts w:hint="eastAsia" w:ascii="仿宋" w:hAnsi="仿宋" w:eastAsia="仿宋" w:cs="仿宋"/>
                <w:b/>
                <w:color w:val="auto"/>
                <w:sz w:val="32"/>
                <w:szCs w:val="32"/>
              </w:rPr>
              <w:t>品目</w:t>
            </w:r>
          </w:p>
          <w:p w14:paraId="3DB8675B">
            <w:pPr>
              <w:spacing w:line="560" w:lineRule="exact"/>
              <w:jc w:val="center"/>
              <w:rPr>
                <w:rFonts w:ascii="仿宋" w:hAnsi="仿宋" w:eastAsia="仿宋" w:cs="仿宋"/>
                <w:b/>
                <w:color w:val="auto"/>
                <w:sz w:val="32"/>
                <w:szCs w:val="32"/>
              </w:rPr>
            </w:pPr>
            <w:r>
              <w:rPr>
                <w:rFonts w:hint="eastAsia" w:ascii="仿宋" w:hAnsi="仿宋" w:eastAsia="仿宋" w:cs="仿宋"/>
                <w:b/>
                <w:color w:val="auto"/>
                <w:sz w:val="32"/>
                <w:szCs w:val="32"/>
              </w:rPr>
              <w:t>分类编码</w:t>
            </w:r>
          </w:p>
        </w:tc>
        <w:tc>
          <w:tcPr>
            <w:tcW w:w="2055" w:type="dxa"/>
            <w:vAlign w:val="center"/>
          </w:tcPr>
          <w:p w14:paraId="197BE283">
            <w:pPr>
              <w:spacing w:line="560" w:lineRule="exact"/>
              <w:jc w:val="center"/>
              <w:rPr>
                <w:rFonts w:hint="default"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预算单价（元）</w:t>
            </w:r>
          </w:p>
        </w:tc>
        <w:tc>
          <w:tcPr>
            <w:tcW w:w="881" w:type="dxa"/>
            <w:vAlign w:val="center"/>
          </w:tcPr>
          <w:p w14:paraId="7667A53C">
            <w:pPr>
              <w:spacing w:line="560" w:lineRule="exact"/>
              <w:jc w:val="center"/>
              <w:rPr>
                <w:rFonts w:ascii="仿宋" w:hAnsi="仿宋" w:eastAsia="仿宋" w:cs="仿宋"/>
                <w:b/>
                <w:color w:val="auto"/>
                <w:sz w:val="32"/>
                <w:szCs w:val="32"/>
              </w:rPr>
            </w:pPr>
            <w:r>
              <w:rPr>
                <w:rFonts w:hint="eastAsia" w:ascii="仿宋" w:hAnsi="仿宋" w:eastAsia="仿宋" w:cs="仿宋"/>
                <w:b/>
                <w:color w:val="auto"/>
                <w:sz w:val="32"/>
                <w:szCs w:val="32"/>
              </w:rPr>
              <w:t>计量</w:t>
            </w:r>
          </w:p>
          <w:p w14:paraId="2C3FFDE4">
            <w:pPr>
              <w:spacing w:line="560" w:lineRule="exact"/>
              <w:jc w:val="center"/>
              <w:rPr>
                <w:rFonts w:ascii="仿宋" w:hAnsi="仿宋" w:eastAsia="仿宋" w:cs="仿宋"/>
                <w:b/>
                <w:color w:val="auto"/>
                <w:sz w:val="32"/>
                <w:szCs w:val="32"/>
              </w:rPr>
            </w:pPr>
            <w:r>
              <w:rPr>
                <w:rFonts w:hint="eastAsia" w:ascii="仿宋" w:hAnsi="仿宋" w:eastAsia="仿宋" w:cs="仿宋"/>
                <w:b/>
                <w:color w:val="auto"/>
                <w:sz w:val="32"/>
                <w:szCs w:val="32"/>
              </w:rPr>
              <w:t>单位</w:t>
            </w:r>
          </w:p>
        </w:tc>
        <w:tc>
          <w:tcPr>
            <w:tcW w:w="758" w:type="dxa"/>
            <w:vAlign w:val="center"/>
          </w:tcPr>
          <w:p w14:paraId="57B56283">
            <w:pPr>
              <w:spacing w:line="560" w:lineRule="exact"/>
              <w:jc w:val="center"/>
              <w:rPr>
                <w:rFonts w:ascii="仿宋" w:hAnsi="仿宋" w:eastAsia="仿宋" w:cs="仿宋"/>
                <w:b/>
                <w:color w:val="auto"/>
                <w:sz w:val="32"/>
                <w:szCs w:val="32"/>
              </w:rPr>
            </w:pPr>
            <w:r>
              <w:rPr>
                <w:rFonts w:hint="eastAsia" w:ascii="仿宋" w:hAnsi="仿宋" w:eastAsia="仿宋" w:cs="仿宋"/>
                <w:b/>
                <w:color w:val="auto"/>
                <w:sz w:val="32"/>
                <w:szCs w:val="32"/>
              </w:rPr>
              <w:t>数量</w:t>
            </w:r>
          </w:p>
        </w:tc>
        <w:tc>
          <w:tcPr>
            <w:tcW w:w="937" w:type="dxa"/>
            <w:vAlign w:val="center"/>
          </w:tcPr>
          <w:p w14:paraId="70528A9C">
            <w:pPr>
              <w:spacing w:line="560" w:lineRule="exact"/>
              <w:jc w:val="center"/>
              <w:rPr>
                <w:rFonts w:ascii="仿宋" w:hAnsi="仿宋" w:eastAsia="仿宋" w:cs="仿宋"/>
                <w:b/>
                <w:color w:val="auto"/>
                <w:sz w:val="32"/>
                <w:szCs w:val="32"/>
              </w:rPr>
            </w:pPr>
            <w:r>
              <w:rPr>
                <w:rFonts w:hint="eastAsia" w:ascii="仿宋" w:hAnsi="仿宋" w:eastAsia="仿宋" w:cs="仿宋"/>
                <w:b/>
                <w:color w:val="auto"/>
                <w:sz w:val="32"/>
                <w:szCs w:val="32"/>
              </w:rPr>
              <w:t>是否进口</w:t>
            </w:r>
          </w:p>
        </w:tc>
      </w:tr>
      <w:tr w14:paraId="13E2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499" w:type="dxa"/>
            <w:vAlign w:val="center"/>
          </w:tcPr>
          <w:p w14:paraId="574D97B4">
            <w:pPr>
              <w:adjustRightInd w:val="0"/>
              <w:snapToGrid w:val="0"/>
              <w:spacing w:line="560" w:lineRule="exact"/>
              <w:ind w:firstLine="0" w:firstLineChars="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p>
        </w:tc>
        <w:tc>
          <w:tcPr>
            <w:tcW w:w="2517" w:type="dxa"/>
            <w:vAlign w:val="center"/>
          </w:tcPr>
          <w:p w14:paraId="66FAE856">
            <w:pPr>
              <w:adjustRightInd w:val="0"/>
              <w:snapToGrid w:val="0"/>
              <w:spacing w:line="560" w:lineRule="exact"/>
              <w:jc w:val="center"/>
              <w:rPr>
                <w:rFonts w:ascii="仿宋" w:hAnsi="仿宋" w:eastAsia="仿宋" w:cs="仿宋"/>
                <w:i/>
                <w:color w:val="auto"/>
                <w:sz w:val="32"/>
                <w:szCs w:val="32"/>
                <w:u w:val="single"/>
              </w:rPr>
            </w:pPr>
            <w:r>
              <w:rPr>
                <w:rFonts w:hint="eastAsia" w:ascii="仿宋" w:hAnsi="仿宋" w:eastAsia="仿宋" w:cs="仿宋"/>
                <w:i/>
                <w:color w:val="auto"/>
                <w:sz w:val="32"/>
                <w:szCs w:val="32"/>
                <w:u w:val="single"/>
              </w:rPr>
              <w:t>广东省深圳市龙岗区消防救援大队龙岗区电动自行车智慧防控系统项目</w:t>
            </w:r>
          </w:p>
        </w:tc>
        <w:tc>
          <w:tcPr>
            <w:tcW w:w="1590" w:type="dxa"/>
            <w:shd w:val="clear" w:color="auto" w:fill="auto"/>
            <w:vAlign w:val="center"/>
          </w:tcPr>
          <w:p w14:paraId="0FF12CEC">
            <w:pPr>
              <w:adjustRightInd w:val="0"/>
              <w:snapToGrid w:val="0"/>
              <w:spacing w:line="560" w:lineRule="exact"/>
              <w:jc w:val="both"/>
              <w:rPr>
                <w:rFonts w:hint="default"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软件开发</w:t>
            </w:r>
          </w:p>
        </w:tc>
        <w:tc>
          <w:tcPr>
            <w:tcW w:w="2055" w:type="dxa"/>
            <w:shd w:val="clear" w:color="auto" w:fill="auto"/>
            <w:vAlign w:val="center"/>
          </w:tcPr>
          <w:p w14:paraId="31293A94">
            <w:pPr>
              <w:adjustRightInd w:val="0"/>
              <w:snapToGrid w:val="0"/>
              <w:spacing w:line="560" w:lineRule="exact"/>
              <w:ind w:firstLine="0" w:firstLineChars="0"/>
              <w:jc w:val="center"/>
              <w:rPr>
                <w:rFonts w:hint="eastAsia" w:ascii="仿宋" w:hAnsi="仿宋" w:eastAsia="仿宋体" w:cs="仿宋"/>
                <w:color w:val="auto"/>
                <w:sz w:val="32"/>
                <w:szCs w:val="32"/>
                <w:lang w:val="en-US" w:eastAsia="zh-CN"/>
              </w:rPr>
            </w:pPr>
            <w:r>
              <w:rPr>
                <w:rFonts w:hint="eastAsia" w:ascii="仿宋" w:hAnsi="仿宋" w:eastAsia="仿宋" w:cs="仿宋"/>
                <w:bCs w:val="0"/>
                <w:color w:val="auto"/>
                <w:szCs w:val="32"/>
                <w:highlight w:val="none"/>
                <w:u w:val="none"/>
                <w:lang w:val="en-US" w:eastAsia="zh-CN"/>
              </w:rPr>
              <w:t>1587100.00</w:t>
            </w:r>
          </w:p>
        </w:tc>
        <w:tc>
          <w:tcPr>
            <w:tcW w:w="881" w:type="dxa"/>
            <w:shd w:val="clear" w:color="auto" w:fill="auto"/>
            <w:vAlign w:val="center"/>
          </w:tcPr>
          <w:p w14:paraId="52B19611">
            <w:pPr>
              <w:adjustRightInd w:val="0"/>
              <w:snapToGrid w:val="0"/>
              <w:spacing w:line="560" w:lineRule="exact"/>
              <w:jc w:val="center"/>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rPr>
              <w:t>项</w:t>
            </w:r>
          </w:p>
        </w:tc>
        <w:tc>
          <w:tcPr>
            <w:tcW w:w="758" w:type="dxa"/>
            <w:shd w:val="clear" w:color="auto" w:fill="auto"/>
            <w:vAlign w:val="center"/>
          </w:tcPr>
          <w:p w14:paraId="5CDBFA48">
            <w:pPr>
              <w:adjustRightInd w:val="0"/>
              <w:snapToGrid w:val="0"/>
              <w:spacing w:line="560" w:lineRule="exact"/>
              <w:jc w:val="center"/>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rPr>
              <w:t>1</w:t>
            </w:r>
          </w:p>
        </w:tc>
        <w:tc>
          <w:tcPr>
            <w:tcW w:w="937" w:type="dxa"/>
            <w:shd w:val="clear" w:color="auto" w:fill="auto"/>
            <w:vAlign w:val="center"/>
          </w:tcPr>
          <w:p w14:paraId="48AA2667">
            <w:pPr>
              <w:adjustRightInd w:val="0"/>
              <w:snapToGrid w:val="0"/>
              <w:spacing w:line="560" w:lineRule="exact"/>
              <w:ind w:firstLine="0" w:firstLineChars="0"/>
              <w:jc w:val="center"/>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否</w:t>
            </w:r>
          </w:p>
        </w:tc>
      </w:tr>
    </w:tbl>
    <w:p w14:paraId="096C531F">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rPr>
        <w:t>（四）技术商务要求</w:t>
      </w:r>
    </w:p>
    <w:p w14:paraId="1EC4B6E6">
      <w:pPr>
        <w:spacing w:line="560" w:lineRule="exact"/>
        <w:ind w:firstLine="643" w:firstLineChars="200"/>
        <w:jc w:val="left"/>
        <w:outlineLvl w:val="2"/>
        <w:rPr>
          <w:rFonts w:ascii="仿宋" w:hAnsi="仿宋" w:eastAsia="仿宋" w:cs="仿宋"/>
          <w:b/>
          <w:bCs/>
          <w:color w:val="auto"/>
        </w:rPr>
      </w:pPr>
      <w:r>
        <w:rPr>
          <w:rFonts w:hint="eastAsia" w:ascii="仿宋" w:hAnsi="仿宋" w:eastAsia="仿宋" w:cs="仿宋"/>
          <w:b/>
          <w:bCs/>
          <w:color w:val="auto"/>
        </w:rPr>
        <w:t>（1）技术要求</w:t>
      </w:r>
    </w:p>
    <w:p w14:paraId="6770C72C">
      <w:pPr>
        <w:spacing w:line="52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1.项目总体要求</w:t>
      </w:r>
    </w:p>
    <w:p w14:paraId="1BD3FA85">
      <w:pPr>
        <w:spacing w:line="52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鉴于龙岗区电动自行车保有量庞大，充电设施存在监管无抓手、事件滞后等痛点问题，以及政策对充换电设施安全管控的要求，通过接入龙岗区电动自行车充换电设施数据，构建一个统一接入、监测管理、智能预警、闭环管理的龙岗区电动自行车智慧防控系统。以此提升充换电场站安全隐患的早发现、早预警、早处置能力，实现“事前预警、事中可控、事后可溯”的主动、智能监管模式。提升全区充换电场站的安全水平，助力城市安全发展。</w:t>
      </w:r>
    </w:p>
    <w:p w14:paraId="414DD735">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2.服务具体要求及质量标准</w:t>
      </w:r>
    </w:p>
    <w:p w14:paraId="1D6F157F">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①工作时间要求</w:t>
      </w:r>
    </w:p>
    <w:p w14:paraId="641B8541">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项目建设周期预计为12个月</w:t>
      </w:r>
    </w:p>
    <w:p w14:paraId="50EB424A">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②服务成果要求</w:t>
      </w:r>
    </w:p>
    <w:p w14:paraId="40A59A44">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接入龙岗全区</w:t>
      </w:r>
      <w:r>
        <w:rPr>
          <w:rFonts w:hint="eastAsia" w:ascii="仿宋_GB2312" w:hAnsi="仿宋_GB2312" w:eastAsia="仿宋_GB2312" w:cs="仿宋_GB2312"/>
          <w:lang w:val="en-US" w:eastAsia="zh-CN"/>
        </w:rPr>
        <w:t>1.8</w:t>
      </w:r>
      <w:r>
        <w:rPr>
          <w:rFonts w:hint="eastAsia" w:ascii="仿宋_GB2312" w:hAnsi="仿宋_GB2312" w:eastAsia="仿宋_GB2312" w:cs="仿宋_GB2312"/>
        </w:rPr>
        <w:t>万个电动自行车</w:t>
      </w:r>
      <w:r>
        <w:rPr>
          <w:rFonts w:hint="eastAsia" w:ascii="仿宋_GB2312" w:hAnsi="仿宋_GB2312" w:eastAsia="仿宋_GB2312" w:cs="仿宋_GB2312"/>
          <w:lang w:val="en-US" w:eastAsia="zh-CN"/>
        </w:rPr>
        <w:t>充电</w:t>
      </w:r>
      <w:r>
        <w:rPr>
          <w:rFonts w:hint="eastAsia" w:ascii="仿宋_GB2312" w:hAnsi="仿宋_GB2312" w:eastAsia="仿宋_GB2312" w:cs="仿宋_GB2312"/>
        </w:rPr>
        <w:t>桩、</w:t>
      </w:r>
      <w:r>
        <w:rPr>
          <w:rFonts w:hint="eastAsia" w:ascii="仿宋_GB2312" w:hAnsi="仿宋_GB2312" w:eastAsia="仿宋_GB2312" w:cs="仿宋_GB2312"/>
          <w:lang w:val="en-US" w:eastAsia="zh-CN"/>
        </w:rPr>
        <w:t>13.8</w:t>
      </w:r>
      <w:r>
        <w:rPr>
          <w:rFonts w:hint="eastAsia" w:ascii="仿宋_GB2312" w:hAnsi="仿宋_GB2312" w:eastAsia="仿宋_GB2312" w:cs="仿宋_GB2312"/>
        </w:rPr>
        <w:t>万个电动自行车</w:t>
      </w:r>
      <w:r>
        <w:rPr>
          <w:rFonts w:hint="eastAsia" w:ascii="仿宋_GB2312" w:hAnsi="仿宋_GB2312" w:eastAsia="仿宋_GB2312" w:cs="仿宋_GB2312"/>
          <w:lang w:val="en-US" w:eastAsia="zh-CN"/>
        </w:rPr>
        <w:t>充电</w:t>
      </w:r>
      <w:r>
        <w:rPr>
          <w:rFonts w:hint="eastAsia" w:ascii="仿宋_GB2312" w:hAnsi="仿宋_GB2312" w:eastAsia="仿宋_GB2312" w:cs="仿宋_GB2312"/>
        </w:rPr>
        <w:t>桩端口、</w:t>
      </w:r>
      <w:r>
        <w:rPr>
          <w:rFonts w:hint="eastAsia" w:ascii="仿宋_GB2312" w:hAnsi="仿宋_GB2312" w:eastAsia="仿宋_GB2312" w:cs="仿宋_GB2312"/>
          <w:lang w:val="en-US" w:eastAsia="zh-CN"/>
        </w:rPr>
        <w:t>420</w:t>
      </w:r>
      <w:r>
        <w:rPr>
          <w:rFonts w:hint="eastAsia" w:ascii="仿宋_GB2312" w:hAnsi="仿宋_GB2312" w:eastAsia="仿宋_GB2312" w:cs="仿宋_GB2312"/>
        </w:rPr>
        <w:t>家</w:t>
      </w:r>
      <w:r>
        <w:rPr>
          <w:rFonts w:hint="eastAsia" w:ascii="仿宋_GB2312" w:hAnsi="仿宋_GB2312" w:eastAsia="仿宋_GB2312" w:cs="仿宋_GB2312"/>
          <w:lang w:val="en-US" w:eastAsia="zh-CN"/>
        </w:rPr>
        <w:t>充电桩</w:t>
      </w:r>
      <w:r>
        <w:rPr>
          <w:rFonts w:hint="eastAsia" w:ascii="仿宋_GB2312" w:hAnsi="仿宋_GB2312" w:eastAsia="仿宋_GB2312" w:cs="仿宋_GB2312"/>
        </w:rPr>
        <w:t>运营企业的数据</w:t>
      </w:r>
    </w:p>
    <w:p w14:paraId="7C8EC2C0">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2、搭建电动自行车智慧防控系统管理汇聚数据</w:t>
      </w:r>
    </w:p>
    <w:p w14:paraId="5CD0015E">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搭建电动自行车智慧防控系统，实现全区充换电场站充换电设施的数据查看与管理，方便消防部门和街道办进行充换电场站消防安全场景监管。建立多层级的智能预警规则引擎，满足多渠道（语音、短信、小程序等）的告警推送能力。</w:t>
      </w:r>
    </w:p>
    <w:p w14:paraId="436FF076">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实现从预警发现到闭环处置、事件存档的全流程闭环管理，方便回溯与复盘分析。</w:t>
      </w:r>
    </w:p>
    <w:p w14:paraId="768E4FF3">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3、基于i龙岗小程序，搭建充电监管模块，实现责任到人、闭环处置</w:t>
      </w:r>
    </w:p>
    <w:p w14:paraId="2EC1F717">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当场站充换电设施发出隐患预警时，系统第一时间通知到运营企业人员。基于i龙岗小程序，搭建充电监管模块，方便责任人上报处置过程，方便消防、街道查看处置进度，同时系统将自动记录运营企业成员响应处置的过程，满足运营企业消防安全主体责任履行需要。</w:t>
      </w:r>
    </w:p>
    <w:p w14:paraId="339A714D">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并拟定相关机制，要求运营企业按照规范机制落实主体责任。</w:t>
      </w:r>
    </w:p>
    <w:p w14:paraId="4C542A11">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4、实现隐患事件智能预警，火警事件快速推送</w:t>
      </w:r>
    </w:p>
    <w:p w14:paraId="093B6249">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ab/>
      </w:r>
      <w:r>
        <w:rPr>
          <w:rFonts w:hint="eastAsia" w:ascii="仿宋_GB2312" w:hAnsi="仿宋_GB2312" w:eastAsia="仿宋_GB2312" w:cs="仿宋_GB2312"/>
        </w:rPr>
        <w:t>建立预警规则配置，满足预警分级、智能精准推送指定人员的需求，使过往的“被动接警”转变为“主动预警”，并针对最高危的火警事件，实现推送通道的高优先级保障，一旦确认火警，平台自动通知相关人员，消防部门值班中心成员可及时接收查看到火警信息和所属场站信息，触发消防部门的火警处置流程，最大限度缩短消防力量到场时间。</w:t>
      </w:r>
    </w:p>
    <w:p w14:paraId="08F71A0C">
      <w:pPr>
        <w:spacing w:line="560" w:lineRule="exact"/>
        <w:ind w:firstLine="643" w:firstLineChars="200"/>
        <w:jc w:val="left"/>
        <w:outlineLvl w:val="2"/>
        <w:rPr>
          <w:rFonts w:ascii="仿宋" w:hAnsi="仿宋" w:eastAsia="仿宋" w:cs="仿宋"/>
          <w:b/>
          <w:bCs/>
          <w:color w:val="auto"/>
          <w:highlight w:val="none"/>
        </w:rPr>
      </w:pPr>
      <w:r>
        <w:rPr>
          <w:rFonts w:hint="eastAsia" w:ascii="仿宋" w:hAnsi="仿宋" w:eastAsia="仿宋" w:cs="仿宋"/>
          <w:b/>
          <w:bCs/>
          <w:color w:val="auto"/>
          <w:highlight w:val="none"/>
        </w:rPr>
        <w:t>（2）商务要求</w:t>
      </w:r>
    </w:p>
    <w:p w14:paraId="077D63F1">
      <w:pPr>
        <w:widowControl w:val="0"/>
        <w:adjustRightInd w:val="0"/>
        <w:snapToGrid w:val="0"/>
        <w:spacing w:line="360" w:lineRule="auto"/>
        <w:ind w:firstLine="643" w:firstLineChars="200"/>
        <w:jc w:val="both"/>
        <w:outlineLvl w:val="3"/>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1.服务期限</w:t>
      </w:r>
    </w:p>
    <w:p w14:paraId="1DD4FE2A">
      <w:pPr>
        <w:widowControl w:val="0"/>
        <w:adjustRightInd w:val="0"/>
        <w:snapToGrid w:val="0"/>
        <w:spacing w:line="360" w:lineRule="auto"/>
        <w:ind w:firstLine="640" w:firstLineChars="200"/>
        <w:jc w:val="both"/>
        <w:outlineLvl w:val="9"/>
        <w:rPr>
          <w:rFonts w:hint="eastAsia" w:ascii="仿宋" w:hAnsi="仿宋" w:eastAsia="仿宋" w:cs="仿宋"/>
          <w:bCs w:val="0"/>
          <w:color w:val="auto"/>
          <w:szCs w:val="32"/>
          <w:highlight w:val="none"/>
          <w:lang w:val="en-US"/>
        </w:rPr>
      </w:pPr>
      <w:bookmarkStart w:id="1" w:name="_Hlk94130821"/>
      <w:r>
        <w:rPr>
          <w:rFonts w:hint="eastAsia" w:ascii="仿宋" w:hAnsi="仿宋" w:eastAsia="仿宋" w:cs="仿宋"/>
          <w:bCs w:val="0"/>
          <w:color w:val="auto"/>
          <w:szCs w:val="32"/>
          <w:highlight w:val="none"/>
          <w:lang w:val="en-US"/>
        </w:rPr>
        <w:t>签订合同之日</w:t>
      </w:r>
      <w:r>
        <w:rPr>
          <w:rFonts w:hint="eastAsia" w:ascii="仿宋" w:hAnsi="仿宋" w:eastAsia="仿宋" w:cs="仿宋"/>
          <w:bCs w:val="0"/>
          <w:color w:val="auto"/>
          <w:szCs w:val="32"/>
          <w:highlight w:val="none"/>
          <w:lang w:val="en-US" w:eastAsia="zh-CN"/>
        </w:rPr>
        <w:t>起一年</w:t>
      </w:r>
      <w:r>
        <w:rPr>
          <w:rFonts w:hint="eastAsia" w:ascii="仿宋" w:hAnsi="仿宋" w:eastAsia="仿宋" w:cs="仿宋"/>
          <w:bCs w:val="0"/>
          <w:color w:val="auto"/>
          <w:szCs w:val="32"/>
          <w:highlight w:val="none"/>
          <w:lang w:val="en-US"/>
        </w:rPr>
        <w:t>。</w:t>
      </w:r>
      <w:bookmarkEnd w:id="1"/>
    </w:p>
    <w:p w14:paraId="6E0F17C1">
      <w:pPr>
        <w:spacing w:line="560" w:lineRule="exact"/>
        <w:ind w:firstLine="643" w:firstLineChars="200"/>
        <w:jc w:val="left"/>
        <w:outlineLvl w:val="3"/>
        <w:rPr>
          <w:rFonts w:hint="eastAsia" w:ascii="仿宋" w:hAnsi="仿宋" w:eastAsia="仿宋" w:cs="仿宋"/>
          <w:b/>
          <w:bCs/>
          <w:color w:val="auto"/>
        </w:rPr>
      </w:pPr>
      <w:r>
        <w:rPr>
          <w:rFonts w:hint="eastAsia" w:ascii="仿宋" w:hAnsi="仿宋" w:eastAsia="仿宋" w:cs="仿宋"/>
          <w:b/>
          <w:bCs/>
          <w:color w:val="auto"/>
          <w:lang w:val="en-US" w:eastAsia="zh-CN"/>
        </w:rPr>
        <w:t>2.</w:t>
      </w:r>
      <w:r>
        <w:rPr>
          <w:rFonts w:hint="eastAsia" w:ascii="仿宋" w:hAnsi="仿宋" w:eastAsia="仿宋" w:cs="仿宋"/>
          <w:b/>
          <w:bCs/>
          <w:color w:val="auto"/>
        </w:rPr>
        <w:t>报价要求</w:t>
      </w:r>
    </w:p>
    <w:p w14:paraId="579835EE">
      <w:pPr>
        <w:spacing w:line="540" w:lineRule="exact"/>
        <w:ind w:firstLine="64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2.1</w:t>
      </w:r>
      <w:r>
        <w:rPr>
          <w:rFonts w:hint="eastAsia" w:ascii="仿宋_GB2312" w:hAnsi="仿宋_GB2312" w:eastAsia="仿宋_GB2312" w:cs="仿宋_GB2312"/>
          <w:color w:val="000000" w:themeColor="text1"/>
          <w14:textFill>
            <w14:solidFill>
              <w14:schemeClr w14:val="tx1"/>
            </w14:solidFill>
          </w14:textFill>
        </w:rPr>
        <w:t>本项目服务费采用包干制，应包括服务成本、法定税金和管理企业的利润。</w:t>
      </w:r>
    </w:p>
    <w:p w14:paraId="2D5C45DD">
      <w:pPr>
        <w:spacing w:line="540" w:lineRule="exact"/>
        <w:ind w:firstLine="64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2.2</w:t>
      </w:r>
      <w:r>
        <w:rPr>
          <w:rFonts w:hint="eastAsia" w:ascii="仿宋_GB2312" w:hAnsi="仿宋_GB2312" w:eastAsia="仿宋_GB2312" w:cs="仿宋_GB2312"/>
          <w:color w:val="000000" w:themeColor="text1"/>
          <w14:textFill>
            <w14:solidFill>
              <w14:schemeClr w14:val="tx1"/>
            </w14:solidFill>
          </w14:textFill>
        </w:rPr>
        <w:t>投标人应根据本企业的成本自行决定报价，但不得以低于其企业成本的报价投标。</w:t>
      </w:r>
    </w:p>
    <w:p w14:paraId="7367FCCC">
      <w:pPr>
        <w:spacing w:line="540" w:lineRule="exact"/>
        <w:ind w:firstLine="640" w:firstLineChars="200"/>
        <w:rPr>
          <w:rFonts w:hint="eastAsia"/>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2.3</w:t>
      </w:r>
      <w:r>
        <w:rPr>
          <w:rFonts w:hint="eastAsia" w:ascii="仿宋_GB2312" w:hAnsi="仿宋_GB2312" w:eastAsia="仿宋_GB2312" w:cs="仿宋_GB2312"/>
          <w:color w:val="000000" w:themeColor="text1"/>
          <w14:textFill>
            <w14:solidFill>
              <w14:schemeClr w14:val="tx1"/>
            </w14:solidFill>
          </w14:textFill>
        </w:rPr>
        <w:t>投标人的投标报价不得超过财政预算限额。</w:t>
      </w:r>
    </w:p>
    <w:p w14:paraId="454D21DA">
      <w:pPr>
        <w:widowControl w:val="0"/>
        <w:adjustRightInd w:val="0"/>
        <w:snapToGrid w:val="0"/>
        <w:spacing w:line="360" w:lineRule="auto"/>
        <w:ind w:firstLine="643" w:firstLineChars="200"/>
        <w:jc w:val="both"/>
        <w:outlineLvl w:val="3"/>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3.付款方式</w:t>
      </w:r>
    </w:p>
    <w:p w14:paraId="476288E0">
      <w:pPr>
        <w:pStyle w:val="14"/>
        <w:spacing w:line="540" w:lineRule="exact"/>
        <w:ind w:firstLine="640" w:firstLineChars="200"/>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3.1</w:t>
      </w:r>
      <w:r>
        <w:rPr>
          <w:rFonts w:hint="eastAsia" w:ascii="方正仿宋_GB2312" w:hAnsi="方正仿宋_GB2312" w:eastAsia="方正仿宋_GB2312" w:cs="方正仿宋_GB2312"/>
          <w:color w:val="000000" w:themeColor="text1"/>
          <w14:textFill>
            <w14:solidFill>
              <w14:schemeClr w14:val="tx1"/>
            </w14:solidFill>
          </w14:textFill>
        </w:rPr>
        <w:t>预付款</w:t>
      </w:r>
      <w:r>
        <w:rPr>
          <w:rFonts w:hint="eastAsia" w:ascii="方正仿宋_GB2312" w:hAnsi="方正仿宋_GB2312" w:eastAsia="方正仿宋_GB2312" w:cs="方正仿宋_GB2312"/>
          <w:color w:val="000000" w:themeColor="text1"/>
          <w:lang w:eastAsia="zh-CN"/>
          <w14:textFill>
            <w14:solidFill>
              <w14:schemeClr w14:val="tx1"/>
            </w14:solidFill>
          </w14:textFill>
        </w:rPr>
        <w:t>：</w:t>
      </w:r>
      <w:r>
        <w:rPr>
          <w:rFonts w:hint="eastAsia" w:ascii="方正仿宋_GB2312" w:hAnsi="方正仿宋_GB2312" w:eastAsia="方正仿宋_GB2312" w:cs="方正仿宋_GB2312"/>
          <w:color w:val="000000" w:themeColor="text1"/>
          <w14:textFill>
            <w14:solidFill>
              <w14:schemeClr w14:val="tx1"/>
            </w14:solidFill>
          </w14:textFill>
        </w:rPr>
        <w:t>在本合同签订并生效且收到</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乙方</w:t>
      </w:r>
      <w:r>
        <w:rPr>
          <w:rFonts w:hint="eastAsia" w:ascii="方正仿宋_GB2312" w:hAnsi="方正仿宋_GB2312" w:eastAsia="方正仿宋_GB2312" w:cs="方正仿宋_GB2312"/>
          <w:color w:val="000000" w:themeColor="text1"/>
          <w14:textFill>
            <w14:solidFill>
              <w14:schemeClr w14:val="tx1"/>
            </w14:solidFill>
          </w14:textFill>
        </w:rPr>
        <w:t>开具的相应金额的、符合国家规定的发票后</w:t>
      </w:r>
      <w:r>
        <w:rPr>
          <w:rFonts w:hint="eastAsia" w:ascii="方正仿宋_GB2312" w:hAnsi="方正仿宋_GB2312" w:eastAsia="方正仿宋_GB2312" w:cs="方正仿宋_GB2312"/>
          <w:color w:val="000000" w:themeColor="text1"/>
          <w:lang w:eastAsia="zh-CN"/>
          <w14:textFill>
            <w14:solidFill>
              <w14:schemeClr w14:val="tx1"/>
            </w14:solidFill>
          </w14:textFill>
        </w:rPr>
        <w:t>1</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0</w:t>
      </w:r>
      <w:r>
        <w:rPr>
          <w:rFonts w:hint="eastAsia" w:ascii="方正仿宋_GB2312" w:hAnsi="方正仿宋_GB2312" w:eastAsia="方正仿宋_GB2312" w:cs="方正仿宋_GB2312"/>
          <w:color w:val="000000" w:themeColor="text1"/>
          <w14:textFill>
            <w14:solidFill>
              <w14:schemeClr w14:val="tx1"/>
            </w14:solidFill>
          </w14:textFill>
        </w:rPr>
        <w:t>个工作日内，</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甲方</w:t>
      </w:r>
      <w:r>
        <w:rPr>
          <w:rFonts w:hint="eastAsia" w:ascii="方正仿宋_GB2312" w:hAnsi="方正仿宋_GB2312" w:eastAsia="方正仿宋_GB2312" w:cs="方正仿宋_GB2312"/>
          <w:color w:val="000000" w:themeColor="text1"/>
          <w14:textFill>
            <w14:solidFill>
              <w14:schemeClr w14:val="tx1"/>
            </w14:solidFill>
          </w14:textFill>
        </w:rPr>
        <w:t>将本合同费用总额的</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50</w:t>
      </w:r>
      <w:r>
        <w:rPr>
          <w:rFonts w:hint="eastAsia" w:ascii="方正仿宋_GB2312" w:hAnsi="方正仿宋_GB2312" w:eastAsia="方正仿宋_GB2312" w:cs="方正仿宋_GB2312"/>
          <w:color w:val="000000" w:themeColor="text1"/>
          <w14:textFill>
            <w14:solidFill>
              <w14:schemeClr w14:val="tx1"/>
            </w14:solidFill>
          </w14:textFill>
        </w:rPr>
        <w:t>％，即人民币</w:t>
      </w:r>
      <w:r>
        <w:rPr>
          <w:rFonts w:hint="eastAsia" w:ascii="方正仿宋_GB2312" w:hAnsi="方正仿宋_GB2312" w:eastAsia="方正仿宋_GB2312" w:cs="方正仿宋_GB2312"/>
          <w:color w:val="000000" w:themeColor="text1"/>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14:textFill>
            <w14:solidFill>
              <w14:schemeClr w14:val="tx1"/>
            </w14:solidFill>
          </w14:textFill>
        </w:rPr>
        <w:t>元（大写：</w:t>
      </w:r>
      <w:r>
        <w:rPr>
          <w:rFonts w:hint="eastAsia" w:ascii="方正仿宋_GB2312" w:hAnsi="方正仿宋_GB2312" w:eastAsia="方正仿宋_GB2312" w:cs="方正仿宋_GB2312"/>
          <w:color w:val="000000" w:themeColor="text1"/>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14:textFill>
            <w14:solidFill>
              <w14:schemeClr w14:val="tx1"/>
            </w14:solidFill>
          </w14:textFill>
        </w:rPr>
        <w:t>元整），支付给中标人；</w:t>
      </w:r>
    </w:p>
    <w:p w14:paraId="38E10320">
      <w:pPr>
        <w:spacing w:line="560" w:lineRule="exact"/>
        <w:ind w:firstLine="640" w:firstLineChars="200"/>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3.2</w:t>
      </w:r>
      <w:r>
        <w:rPr>
          <w:rFonts w:hint="eastAsia" w:ascii="方正仿宋_GB2312" w:hAnsi="方正仿宋_GB2312" w:eastAsia="方正仿宋_GB2312" w:cs="方正仿宋_GB2312"/>
          <w:color w:val="000000" w:themeColor="text1"/>
          <w14:textFill>
            <w14:solidFill>
              <w14:schemeClr w14:val="tx1"/>
            </w14:solidFill>
          </w14:textFill>
        </w:rPr>
        <w:t>进度付款：</w:t>
      </w:r>
      <w:r>
        <w:rPr>
          <w:rFonts w:hint="eastAsia" w:ascii="仿宋_GB2312" w:hAnsi="仿宋_GB2312" w:eastAsia="仿宋_GB2312" w:cs="仿宋_GB2312"/>
          <w:color w:val="000000" w:themeColor="text1"/>
          <w:lang w:val="en-US" w:eastAsia="zh-CN"/>
          <w14:textFill>
            <w14:solidFill>
              <w14:schemeClr w14:val="tx1"/>
            </w14:solidFill>
          </w14:textFill>
        </w:rPr>
        <w:t>完成相关业务系统部署工作</w:t>
      </w:r>
      <w:r>
        <w:rPr>
          <w:rFonts w:hint="eastAsia" w:ascii="方正仿宋_GB2312" w:hAnsi="方正仿宋_GB2312" w:eastAsia="方正仿宋_GB2312" w:cs="方正仿宋_GB2312"/>
          <w:color w:val="000000" w:themeColor="text1"/>
          <w14:textFill>
            <w14:solidFill>
              <w14:schemeClr w14:val="tx1"/>
            </w14:solidFill>
          </w14:textFill>
        </w:rPr>
        <w:t>且收到</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乙方</w:t>
      </w:r>
      <w:r>
        <w:rPr>
          <w:rFonts w:hint="eastAsia" w:ascii="方正仿宋_GB2312" w:hAnsi="方正仿宋_GB2312" w:eastAsia="方正仿宋_GB2312" w:cs="方正仿宋_GB2312"/>
          <w:color w:val="000000" w:themeColor="text1"/>
          <w14:textFill>
            <w14:solidFill>
              <w14:schemeClr w14:val="tx1"/>
            </w14:solidFill>
          </w14:textFill>
        </w:rPr>
        <w:t>开具的相应金额的、符合国家规定的发票后</w:t>
      </w:r>
      <w:r>
        <w:rPr>
          <w:rFonts w:hint="eastAsia" w:ascii="方正仿宋_GB2312" w:hAnsi="方正仿宋_GB2312" w:eastAsia="方正仿宋_GB2312" w:cs="方正仿宋_GB2312"/>
          <w:color w:val="000000" w:themeColor="text1"/>
          <w:lang w:eastAsia="zh-CN"/>
          <w14:textFill>
            <w14:solidFill>
              <w14:schemeClr w14:val="tx1"/>
            </w14:solidFill>
          </w14:textFill>
        </w:rPr>
        <w:t>1</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0</w:t>
      </w:r>
      <w:r>
        <w:rPr>
          <w:rFonts w:hint="eastAsia" w:ascii="方正仿宋_GB2312" w:hAnsi="方正仿宋_GB2312" w:eastAsia="方正仿宋_GB2312" w:cs="方正仿宋_GB2312"/>
          <w:color w:val="000000" w:themeColor="text1"/>
          <w14:textFill>
            <w14:solidFill>
              <w14:schemeClr w14:val="tx1"/>
            </w14:solidFill>
          </w14:textFill>
        </w:rPr>
        <w:t>个工作日内，</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甲方</w:t>
      </w:r>
      <w:r>
        <w:rPr>
          <w:rFonts w:hint="eastAsia" w:ascii="方正仿宋_GB2312" w:hAnsi="方正仿宋_GB2312" w:eastAsia="方正仿宋_GB2312" w:cs="方正仿宋_GB2312"/>
          <w:color w:val="000000" w:themeColor="text1"/>
          <w14:textFill>
            <w14:solidFill>
              <w14:schemeClr w14:val="tx1"/>
            </w14:solidFill>
          </w14:textFill>
        </w:rPr>
        <w:t>将本合同费用总额的</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30</w:t>
      </w:r>
      <w:r>
        <w:rPr>
          <w:rFonts w:hint="eastAsia" w:ascii="方正仿宋_GB2312" w:hAnsi="方正仿宋_GB2312" w:eastAsia="方正仿宋_GB2312" w:cs="方正仿宋_GB2312"/>
          <w:color w:val="000000" w:themeColor="text1"/>
          <w14:textFill>
            <w14:solidFill>
              <w14:schemeClr w14:val="tx1"/>
            </w14:solidFill>
          </w14:textFill>
        </w:rPr>
        <w:t>％，即人民币</w:t>
      </w:r>
      <w:r>
        <w:rPr>
          <w:rFonts w:hint="eastAsia" w:ascii="方正仿宋_GB2312" w:hAnsi="方正仿宋_GB2312" w:eastAsia="方正仿宋_GB2312" w:cs="方正仿宋_GB2312"/>
          <w:color w:val="000000" w:themeColor="text1"/>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14:textFill>
            <w14:solidFill>
              <w14:schemeClr w14:val="tx1"/>
            </w14:solidFill>
          </w14:textFill>
        </w:rPr>
        <w:t>元（大写：</w:t>
      </w:r>
      <w:r>
        <w:rPr>
          <w:rFonts w:hint="eastAsia" w:ascii="方正仿宋_GB2312" w:hAnsi="方正仿宋_GB2312" w:eastAsia="方正仿宋_GB2312" w:cs="方正仿宋_GB2312"/>
          <w:color w:val="000000" w:themeColor="text1"/>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14:textFill>
            <w14:solidFill>
              <w14:schemeClr w14:val="tx1"/>
            </w14:solidFill>
          </w14:textFill>
        </w:rPr>
        <w:t>元整），支付给</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乙方</w:t>
      </w:r>
      <w:r>
        <w:rPr>
          <w:rFonts w:hint="eastAsia" w:ascii="方正仿宋_GB2312" w:hAnsi="方正仿宋_GB2312" w:eastAsia="方正仿宋_GB2312" w:cs="方正仿宋_GB2312"/>
          <w:color w:val="000000" w:themeColor="text1"/>
          <w14:textFill>
            <w14:solidFill>
              <w14:schemeClr w14:val="tx1"/>
            </w14:solidFill>
          </w14:textFill>
        </w:rPr>
        <w:t>；</w:t>
      </w:r>
    </w:p>
    <w:p w14:paraId="25558B2E">
      <w:pPr>
        <w:pStyle w:val="14"/>
        <w:spacing w:after="0" w:line="540" w:lineRule="exact"/>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3.3</w:t>
      </w:r>
      <w:r>
        <w:rPr>
          <w:rFonts w:hint="eastAsia" w:ascii="方正仿宋_GB2312" w:hAnsi="方正仿宋_GB2312" w:eastAsia="方正仿宋_GB2312" w:cs="方正仿宋_GB2312"/>
          <w:color w:val="000000" w:themeColor="text1"/>
          <w14:textFill>
            <w14:solidFill>
              <w14:schemeClr w14:val="tx1"/>
            </w14:solidFill>
          </w14:textFill>
        </w:rPr>
        <w:t>验收付款：软件平台上线试运行满三个月，试运行期间运行正常稳定、满足招标和合同要求，且乙方提供服务承诺函</w:t>
      </w:r>
      <w:r>
        <w:rPr>
          <w:rFonts w:hint="eastAsia" w:ascii="方正仿宋_GB2312" w:hAnsi="方正仿宋_GB2312" w:eastAsia="方正仿宋_GB2312" w:cs="方正仿宋_GB2312"/>
          <w:color w:val="000000" w:themeColor="text1"/>
          <w:lang w:eastAsia="zh-CN"/>
          <w14:textFill>
            <w14:solidFill>
              <w14:schemeClr w14:val="tx1"/>
            </w14:solidFill>
          </w14:textFill>
        </w:rPr>
        <w:t>，</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甲方</w:t>
      </w:r>
      <w:r>
        <w:rPr>
          <w:rFonts w:hint="eastAsia" w:ascii="方正仿宋_GB2312" w:hAnsi="方正仿宋_GB2312" w:eastAsia="方正仿宋_GB2312" w:cs="方正仿宋_GB2312"/>
          <w:color w:val="000000" w:themeColor="text1"/>
          <w14:textFill>
            <w14:solidFill>
              <w14:schemeClr w14:val="tx1"/>
            </w14:solidFill>
          </w14:textFill>
        </w:rPr>
        <w:t>收到</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乙方</w:t>
      </w:r>
      <w:r>
        <w:rPr>
          <w:rFonts w:hint="eastAsia" w:ascii="方正仿宋_GB2312" w:hAnsi="方正仿宋_GB2312" w:eastAsia="方正仿宋_GB2312" w:cs="方正仿宋_GB2312"/>
          <w:color w:val="000000" w:themeColor="text1"/>
          <w14:textFill>
            <w14:solidFill>
              <w14:schemeClr w14:val="tx1"/>
            </w14:solidFill>
          </w14:textFill>
        </w:rPr>
        <w:t>开具的相应金额的、符合国家规定的发票后</w:t>
      </w:r>
      <w:r>
        <w:rPr>
          <w:rFonts w:hint="eastAsia" w:ascii="方正仿宋_GB2312" w:hAnsi="方正仿宋_GB2312" w:eastAsia="方正仿宋_GB2312" w:cs="方正仿宋_GB2312"/>
          <w:color w:val="000000" w:themeColor="text1"/>
          <w:lang w:eastAsia="zh-CN"/>
          <w14:textFill>
            <w14:solidFill>
              <w14:schemeClr w14:val="tx1"/>
            </w14:solidFill>
          </w14:textFill>
        </w:rPr>
        <w:t>1</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0</w:t>
      </w:r>
      <w:r>
        <w:rPr>
          <w:rFonts w:hint="eastAsia" w:ascii="方正仿宋_GB2312" w:hAnsi="方正仿宋_GB2312" w:eastAsia="方正仿宋_GB2312" w:cs="方正仿宋_GB2312"/>
          <w:color w:val="000000" w:themeColor="text1"/>
          <w14:textFill>
            <w14:solidFill>
              <w14:schemeClr w14:val="tx1"/>
            </w14:solidFill>
          </w14:textFill>
        </w:rPr>
        <w:t>个工作日内，</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甲方</w:t>
      </w:r>
      <w:r>
        <w:rPr>
          <w:rFonts w:hint="eastAsia" w:ascii="方正仿宋_GB2312" w:hAnsi="方正仿宋_GB2312" w:eastAsia="方正仿宋_GB2312" w:cs="方正仿宋_GB2312"/>
          <w:color w:val="000000" w:themeColor="text1"/>
          <w14:textFill>
            <w14:solidFill>
              <w14:schemeClr w14:val="tx1"/>
            </w14:solidFill>
          </w14:textFill>
        </w:rPr>
        <w:t>将本合同费用总额的</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20</w:t>
      </w:r>
      <w:r>
        <w:rPr>
          <w:rFonts w:hint="eastAsia" w:ascii="方正仿宋_GB2312" w:hAnsi="方正仿宋_GB2312" w:eastAsia="方正仿宋_GB2312" w:cs="方正仿宋_GB2312"/>
          <w:color w:val="000000" w:themeColor="text1"/>
          <w14:textFill>
            <w14:solidFill>
              <w14:schemeClr w14:val="tx1"/>
            </w14:solidFill>
          </w14:textFill>
        </w:rPr>
        <w:t>％，即人民币</w:t>
      </w:r>
      <w:r>
        <w:rPr>
          <w:rFonts w:hint="eastAsia" w:ascii="方正仿宋_GB2312" w:hAnsi="方正仿宋_GB2312" w:eastAsia="方正仿宋_GB2312" w:cs="方正仿宋_GB2312"/>
          <w:color w:val="000000" w:themeColor="text1"/>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14:textFill>
            <w14:solidFill>
              <w14:schemeClr w14:val="tx1"/>
            </w14:solidFill>
          </w14:textFill>
        </w:rPr>
        <w:t>元（大写：</w:t>
      </w:r>
      <w:r>
        <w:rPr>
          <w:rFonts w:hint="eastAsia" w:ascii="方正仿宋_GB2312" w:hAnsi="方正仿宋_GB2312" w:eastAsia="方正仿宋_GB2312" w:cs="方正仿宋_GB2312"/>
          <w:color w:val="000000" w:themeColor="text1"/>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14:textFill>
            <w14:solidFill>
              <w14:schemeClr w14:val="tx1"/>
            </w14:solidFill>
          </w14:textFill>
        </w:rPr>
        <w:t>元整），支付给</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乙方</w:t>
      </w:r>
      <w:r>
        <w:rPr>
          <w:rFonts w:hint="eastAsia" w:ascii="方正仿宋_GB2312" w:hAnsi="方正仿宋_GB2312" w:eastAsia="方正仿宋_GB2312" w:cs="方正仿宋_GB2312"/>
          <w:color w:val="000000" w:themeColor="text1"/>
          <w14:textFill>
            <w14:solidFill>
              <w14:schemeClr w14:val="tx1"/>
            </w14:solidFill>
          </w14:textFill>
        </w:rPr>
        <w:t>。</w:t>
      </w:r>
    </w:p>
    <w:p w14:paraId="10E3D523">
      <w:pPr>
        <w:pStyle w:val="14"/>
        <w:spacing w:after="0" w:line="540" w:lineRule="exact"/>
        <w:ind w:firstLine="640" w:firstLineChars="200"/>
        <w:rPr>
          <w:rFonts w:hint="eastAsia" w:ascii="方正仿宋_GB2312" w:hAnsi="方正仿宋_GB2312" w:eastAsia="方正仿宋_GB2312" w:cs="方正仿宋_GB2312"/>
        </w:rPr>
      </w:pPr>
    </w:p>
    <w:p w14:paraId="2F2DB3C4">
      <w:pPr>
        <w:widowControl w:val="0"/>
        <w:adjustRightInd w:val="0"/>
        <w:snapToGrid w:val="0"/>
        <w:spacing w:line="360" w:lineRule="auto"/>
        <w:ind w:firstLine="643" w:firstLineChars="200"/>
        <w:jc w:val="both"/>
        <w:outlineLvl w:val="3"/>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4.其他重要条款</w:t>
      </w:r>
    </w:p>
    <w:bookmarkEnd w:id="0"/>
    <w:p w14:paraId="2255507C">
      <w:pPr>
        <w:spacing w:line="240" w:lineRule="auto"/>
        <w:ind w:firstLine="0"/>
        <w:outlineLvl w:val="9"/>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2CCCC148">
      <w:pPr>
        <w:spacing w:line="560" w:lineRule="exact"/>
        <w:ind w:firstLine="560"/>
        <w:outlineLvl w:val="1"/>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附件</w:t>
      </w:r>
      <w:r>
        <w:rPr>
          <w:rFonts w:hint="eastAsia" w:ascii="仿宋" w:hAnsi="仿宋" w:eastAsia="仿宋" w:cs="仿宋"/>
          <w:color w:val="auto"/>
          <w:sz w:val="28"/>
          <w:szCs w:val="28"/>
          <w:lang w:val="en-US" w:eastAsia="zh-CN"/>
        </w:rPr>
        <w:t>8</w:t>
      </w:r>
    </w:p>
    <w:p w14:paraId="74DEFB05">
      <w:pPr>
        <w:spacing w:line="240" w:lineRule="auto"/>
        <w:ind w:firstLine="880"/>
        <w:jc w:val="center"/>
        <w:rPr>
          <w:rFonts w:ascii="仿宋" w:hAnsi="仿宋" w:eastAsia="仿宋" w:cs="仿宋"/>
          <w:color w:val="auto"/>
          <w:sz w:val="44"/>
          <w:szCs w:val="44"/>
          <w:u w:val="single"/>
        </w:rPr>
      </w:pPr>
    </w:p>
    <w:p w14:paraId="2FD34215">
      <w:pPr>
        <w:pStyle w:val="2"/>
        <w:rPr>
          <w:rFonts w:ascii="仿宋" w:hAnsi="仿宋" w:eastAsia="仿宋" w:cs="仿宋"/>
          <w:color w:val="auto"/>
          <w:sz w:val="44"/>
          <w:szCs w:val="44"/>
          <w:u w:val="single"/>
        </w:rPr>
      </w:pPr>
    </w:p>
    <w:p w14:paraId="113394AE">
      <w:pPr>
        <w:rPr>
          <w:rFonts w:ascii="仿宋" w:hAnsi="仿宋" w:eastAsia="仿宋" w:cs="仿宋"/>
          <w:color w:val="auto"/>
          <w:sz w:val="44"/>
          <w:szCs w:val="44"/>
          <w:u w:val="single"/>
        </w:rPr>
      </w:pPr>
    </w:p>
    <w:p w14:paraId="12BAC249">
      <w:pPr>
        <w:pStyle w:val="2"/>
      </w:pPr>
    </w:p>
    <w:p w14:paraId="028FC3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仿宋"/>
          <w:color w:val="auto"/>
          <w:sz w:val="72"/>
          <w:szCs w:val="72"/>
        </w:rPr>
      </w:pPr>
      <w:r>
        <w:rPr>
          <w:rFonts w:hint="eastAsia" w:ascii="仿宋" w:hAnsi="仿宋" w:eastAsia="仿宋" w:cs="仿宋"/>
          <w:color w:val="auto"/>
          <w:sz w:val="72"/>
          <w:szCs w:val="72"/>
        </w:rPr>
        <w:t>政府采购项目</w:t>
      </w:r>
    </w:p>
    <w:p w14:paraId="071D28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仿宋"/>
          <w:color w:val="auto"/>
          <w:sz w:val="72"/>
          <w:szCs w:val="72"/>
        </w:rPr>
      </w:pPr>
      <w:r>
        <w:rPr>
          <w:rFonts w:hint="eastAsia" w:ascii="仿宋" w:hAnsi="仿宋" w:eastAsia="仿宋" w:cs="仿宋"/>
          <w:color w:val="auto"/>
          <w:sz w:val="72"/>
          <w:szCs w:val="72"/>
        </w:rPr>
        <w:t>采购实施计划</w:t>
      </w:r>
    </w:p>
    <w:p w14:paraId="257DDB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仿宋"/>
          <w:color w:val="auto"/>
          <w:sz w:val="44"/>
          <w:szCs w:val="44"/>
        </w:rPr>
      </w:pPr>
    </w:p>
    <w:p w14:paraId="571B2A9A">
      <w:pPr>
        <w:spacing w:line="240" w:lineRule="auto"/>
        <w:ind w:left="0" w:leftChars="0" w:firstLine="960" w:firstLineChars="300"/>
        <w:rPr>
          <w:rFonts w:ascii="仿宋" w:hAnsi="仿宋" w:eastAsia="仿宋" w:cs="仿宋"/>
          <w:color w:val="auto"/>
          <w:u w:val="single"/>
        </w:rPr>
      </w:pPr>
      <w:r>
        <w:rPr>
          <w:rFonts w:hint="eastAsia" w:ascii="仿宋" w:hAnsi="仿宋" w:eastAsia="仿宋" w:cs="仿宋"/>
          <w:color w:val="auto"/>
        </w:rPr>
        <w:t>项目名称：广东省深圳市龙岗区消防救援大队龙岗区电动自行车智慧防控系统项目</w:t>
      </w:r>
    </w:p>
    <w:p w14:paraId="788E78B8">
      <w:pPr>
        <w:spacing w:line="240" w:lineRule="auto"/>
        <w:ind w:firstLine="960" w:firstLineChars="300"/>
        <w:rPr>
          <w:rFonts w:ascii="仿宋" w:hAnsi="仿宋" w:eastAsia="仿宋" w:cs="仿宋"/>
          <w:color w:val="auto"/>
          <w:u w:val="single"/>
        </w:rPr>
      </w:pPr>
      <w:r>
        <w:rPr>
          <w:rFonts w:hint="eastAsia" w:ascii="仿宋" w:hAnsi="仿宋" w:eastAsia="仿宋" w:cs="仿宋"/>
          <w:color w:val="auto"/>
        </w:rPr>
        <w:t>采购单位：</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深圳市龙岗区消防救援大队</w:t>
      </w:r>
      <w:r>
        <w:rPr>
          <w:rFonts w:hint="eastAsia" w:ascii="仿宋" w:hAnsi="仿宋" w:eastAsia="仿宋" w:cs="仿宋"/>
          <w:color w:val="auto"/>
          <w:u w:val="single"/>
        </w:rPr>
        <w:t xml:space="preserve">                    </w:t>
      </w:r>
    </w:p>
    <w:p w14:paraId="1529E65E">
      <w:pPr>
        <w:spacing w:line="240" w:lineRule="auto"/>
        <w:ind w:firstLine="960" w:firstLineChars="300"/>
        <w:rPr>
          <w:rFonts w:ascii="仿宋" w:hAnsi="仿宋" w:eastAsia="仿宋" w:cs="仿宋"/>
          <w:color w:val="auto"/>
          <w:u w:val="single"/>
        </w:rPr>
      </w:pPr>
      <w:r>
        <w:rPr>
          <w:rFonts w:hint="eastAsia" w:ascii="仿宋" w:hAnsi="仿宋" w:eastAsia="仿宋" w:cs="仿宋"/>
          <w:color w:val="auto"/>
        </w:rPr>
        <w:t>编制单位：</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深圳市龙岗区消防救援大队</w:t>
      </w:r>
      <w:r>
        <w:rPr>
          <w:rFonts w:hint="eastAsia" w:ascii="仿宋" w:hAnsi="仿宋" w:eastAsia="仿宋" w:cs="仿宋"/>
          <w:color w:val="auto"/>
          <w:u w:val="single"/>
        </w:rPr>
        <w:t xml:space="preserve">                    </w:t>
      </w:r>
    </w:p>
    <w:p w14:paraId="2DE62661">
      <w:pPr>
        <w:keepNext w:val="0"/>
        <w:keepLines w:val="0"/>
        <w:pageBreakBefore w:val="0"/>
        <w:widowControl w:val="0"/>
        <w:kinsoku/>
        <w:wordWrap/>
        <w:overflowPunct/>
        <w:topLinePunct w:val="0"/>
        <w:autoSpaceDE/>
        <w:autoSpaceDN/>
        <w:bidi w:val="0"/>
        <w:adjustRightInd/>
        <w:snapToGrid/>
        <w:spacing w:line="240" w:lineRule="auto"/>
        <w:ind w:firstLine="960" w:firstLineChars="300"/>
        <w:textAlignment w:val="auto"/>
        <w:rPr>
          <w:rFonts w:ascii="仿宋" w:hAnsi="仿宋" w:eastAsia="仿宋" w:cs="仿宋"/>
          <w:color w:val="auto"/>
          <w:u w:val="single"/>
        </w:rPr>
      </w:pPr>
      <w:r>
        <w:rPr>
          <w:rFonts w:hint="eastAsia" w:ascii="仿宋" w:hAnsi="仿宋" w:eastAsia="仿宋" w:cs="仿宋"/>
          <w:color w:val="auto"/>
        </w:rPr>
        <w:t>编制时间：</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2025年12月16日</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p>
    <w:p w14:paraId="30BC727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仿宋"/>
          <w:color w:val="auto"/>
          <w:sz w:val="44"/>
          <w:szCs w:val="44"/>
        </w:rPr>
      </w:pPr>
    </w:p>
    <w:p w14:paraId="18B0939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仿宋"/>
          <w:color w:val="auto"/>
          <w:sz w:val="44"/>
          <w:szCs w:val="44"/>
        </w:rPr>
        <w:sectPr>
          <w:footerReference r:id="rId6" w:type="default"/>
          <w:pgSz w:w="11906" w:h="16838"/>
          <w:pgMar w:top="1440" w:right="1800" w:bottom="1440" w:left="1800" w:header="851" w:footer="992" w:gutter="0"/>
          <w:pgNumType w:fmt="decimal"/>
          <w:cols w:space="425" w:num="1"/>
          <w:docGrid w:type="lines" w:linePitch="312" w:charSpace="0"/>
        </w:sectPr>
      </w:pPr>
    </w:p>
    <w:p w14:paraId="6438285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仿宋" w:hAnsi="仿宋" w:eastAsia="仿宋" w:cs="仿宋"/>
          <w:color w:val="auto"/>
          <w:sz w:val="44"/>
          <w:szCs w:val="44"/>
        </w:rPr>
      </w:pPr>
      <w:r>
        <w:rPr>
          <w:rFonts w:hint="eastAsia" w:ascii="仿宋" w:hAnsi="仿宋" w:eastAsia="仿宋" w:cs="仿宋"/>
          <w:color w:val="auto"/>
          <w:sz w:val="44"/>
          <w:szCs w:val="44"/>
        </w:rPr>
        <w:t>编 制 说 明</w:t>
      </w:r>
    </w:p>
    <w:p w14:paraId="2171D51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 w:hAnsi="仿宋" w:eastAsia="仿宋" w:cs="仿宋"/>
          <w:color w:val="auto"/>
        </w:rPr>
      </w:pPr>
    </w:p>
    <w:p w14:paraId="52D4EF6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 w:hAnsi="仿宋" w:eastAsia="仿宋" w:cs="仿宋"/>
          <w:color w:val="auto"/>
        </w:rPr>
      </w:pPr>
      <w:r>
        <w:rPr>
          <w:rFonts w:hint="eastAsia" w:ascii="仿宋" w:hAnsi="仿宋" w:eastAsia="仿宋" w:cs="仿宋"/>
          <w:color w:val="auto"/>
        </w:rPr>
        <w:t>一、采购单位可以自行组织编制采购实施计划，也可以委托采购代理机构或者其他第三方机构编制。</w:t>
      </w:r>
    </w:p>
    <w:p w14:paraId="2022714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 w:hAnsi="仿宋" w:eastAsia="仿宋" w:cs="仿宋"/>
          <w:color w:val="auto"/>
        </w:rPr>
      </w:pPr>
      <w:r>
        <w:rPr>
          <w:rFonts w:hint="eastAsia" w:ascii="仿宋" w:hAnsi="仿宋" w:eastAsia="仿宋" w:cs="仿宋"/>
          <w:color w:val="auto"/>
        </w:rPr>
        <w:t>二、编制的采购实施计划应当符合《财政部关于印发政府采购需求管理办法的通知》（财库〔2021〕22号）要求及政府采购的相关规定。</w:t>
      </w:r>
    </w:p>
    <w:p w14:paraId="7B1555F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 w:hAnsi="仿宋" w:eastAsia="仿宋" w:cs="仿宋"/>
          <w:color w:val="auto"/>
        </w:rPr>
      </w:pPr>
      <w:r>
        <w:rPr>
          <w:rFonts w:hint="eastAsia" w:ascii="仿宋" w:hAnsi="仿宋" w:eastAsia="仿宋" w:cs="仿宋"/>
          <w:color w:val="auto"/>
        </w:rPr>
        <w:t>三、斜体字部分属于提醒内容，编制时应删除。</w:t>
      </w:r>
    </w:p>
    <w:p w14:paraId="1F3E4C7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 w:hAnsi="仿宋" w:eastAsia="仿宋" w:cs="仿宋"/>
          <w:color w:val="auto"/>
        </w:rPr>
      </w:pPr>
      <w:r>
        <w:rPr>
          <w:rFonts w:hint="eastAsia" w:ascii="仿宋" w:hAnsi="仿宋" w:eastAsia="仿宋" w:cs="仿宋"/>
          <w:color w:val="auto"/>
        </w:rPr>
        <w:t>四、对不适用的内容应删除，并调整相应序号。</w:t>
      </w:r>
    </w:p>
    <w:p w14:paraId="11DBA10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 w:hAnsi="仿宋" w:eastAsia="仿宋" w:cs="仿宋"/>
          <w:color w:val="auto"/>
        </w:rPr>
        <w:sectPr>
          <w:footerReference r:id="rId7" w:type="default"/>
          <w:pgSz w:w="11906" w:h="16838"/>
          <w:pgMar w:top="1440" w:right="1800" w:bottom="1440" w:left="1800" w:header="851" w:footer="992" w:gutter="0"/>
          <w:pgNumType w:fmt="decimal"/>
          <w:cols w:space="425" w:num="1"/>
          <w:docGrid w:type="lines" w:linePitch="312" w:charSpace="0"/>
        </w:sectPr>
      </w:pPr>
    </w:p>
    <w:p w14:paraId="3A1A579F">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rPr>
        <w:t>一、合同订立安排</w:t>
      </w:r>
    </w:p>
    <w:p w14:paraId="65EFCF2D">
      <w:pPr>
        <w:spacing w:line="560" w:lineRule="exact"/>
        <w:ind w:firstLine="640" w:firstLineChars="200"/>
        <w:jc w:val="left"/>
        <w:outlineLvl w:val="1"/>
        <w:rPr>
          <w:rFonts w:ascii="仿宋" w:hAnsi="仿宋" w:eastAsia="仿宋" w:cs="仿宋"/>
          <w:color w:val="auto"/>
        </w:rPr>
      </w:pPr>
      <w:r>
        <w:rPr>
          <w:rFonts w:hint="eastAsia" w:ascii="仿宋" w:hAnsi="仿宋" w:eastAsia="仿宋" w:cs="仿宋"/>
          <w:color w:val="auto"/>
        </w:rPr>
        <w:t>（一）开展采购活动的时间安排</w:t>
      </w:r>
    </w:p>
    <w:p w14:paraId="5D129811">
      <w:pPr>
        <w:spacing w:line="560" w:lineRule="exact"/>
        <w:ind w:firstLine="640" w:firstLineChars="200"/>
        <w:jc w:val="left"/>
        <w:rPr>
          <w:rFonts w:hint="eastAsia" w:ascii="仿宋" w:hAnsi="仿宋" w:eastAsia="仿宋" w:cs="仿宋"/>
          <w:i w:val="0"/>
          <w:iCs/>
          <w:color w:val="auto"/>
          <w:highlight w:val="none"/>
          <w:u w:val="single"/>
          <w:lang w:val="en-US" w:eastAsia="zh-CN"/>
        </w:rPr>
      </w:pPr>
      <w:r>
        <w:rPr>
          <w:rFonts w:hint="eastAsia" w:ascii="仿宋" w:hAnsi="仿宋" w:eastAsia="仿宋" w:cs="仿宋"/>
          <w:i w:val="0"/>
          <w:iCs/>
          <w:color w:val="auto"/>
          <w:highlight w:val="none"/>
          <w:u w:val="single"/>
          <w:lang w:val="en-US" w:eastAsia="zh-CN"/>
        </w:rPr>
        <w:t>2026年1月</w:t>
      </w:r>
    </w:p>
    <w:p w14:paraId="0F9A04E9">
      <w:pPr>
        <w:spacing w:line="560" w:lineRule="exact"/>
        <w:ind w:firstLine="640" w:firstLineChars="200"/>
        <w:jc w:val="left"/>
        <w:outlineLvl w:val="1"/>
        <w:rPr>
          <w:rFonts w:ascii="仿宋" w:hAnsi="仿宋" w:eastAsia="仿宋" w:cs="仿宋"/>
          <w:color w:val="auto"/>
        </w:rPr>
      </w:pPr>
      <w:r>
        <w:rPr>
          <w:rFonts w:hint="eastAsia" w:ascii="仿宋" w:hAnsi="仿宋" w:eastAsia="仿宋" w:cs="仿宋"/>
          <w:color w:val="auto"/>
        </w:rPr>
        <w:t>（二）采购组织形式</w:t>
      </w:r>
    </w:p>
    <w:p w14:paraId="2D9565A2">
      <w:pPr>
        <w:spacing w:line="560" w:lineRule="exact"/>
        <w:ind w:firstLine="640" w:firstLineChars="200"/>
        <w:jc w:val="left"/>
        <w:rPr>
          <w:rFonts w:hint="eastAsia" w:ascii="仿宋" w:hAnsi="仿宋" w:eastAsia="仿宋" w:cs="仿宋"/>
          <w:i w:val="0"/>
          <w:iCs/>
          <w:color w:val="auto"/>
          <w:highlight w:val="none"/>
          <w:u w:val="single"/>
          <w:lang w:val="en-US" w:eastAsia="zh-CN"/>
        </w:rPr>
      </w:pPr>
      <w:r>
        <w:rPr>
          <w:rFonts w:hint="eastAsia" w:ascii="仿宋" w:hAnsi="仿宋" w:eastAsia="仿宋" w:cs="仿宋"/>
          <w:i w:val="0"/>
          <w:iCs/>
          <w:color w:val="auto"/>
          <w:highlight w:val="none"/>
          <w:u w:val="single"/>
          <w:lang w:val="en-US" w:eastAsia="zh-CN"/>
        </w:rPr>
        <w:t xml:space="preserve">分散采购 </w:t>
      </w:r>
    </w:p>
    <w:p w14:paraId="483AAE3B">
      <w:pPr>
        <w:spacing w:line="560" w:lineRule="exact"/>
        <w:ind w:firstLine="640" w:firstLineChars="200"/>
        <w:jc w:val="left"/>
        <w:outlineLvl w:val="1"/>
        <w:rPr>
          <w:rFonts w:ascii="仿宋" w:hAnsi="仿宋" w:eastAsia="仿宋" w:cs="仿宋"/>
          <w:color w:val="auto"/>
        </w:rPr>
      </w:pPr>
      <w:r>
        <w:rPr>
          <w:rFonts w:hint="eastAsia" w:ascii="仿宋" w:hAnsi="仿宋" w:eastAsia="仿宋" w:cs="仿宋"/>
          <w:color w:val="auto"/>
        </w:rPr>
        <w:t>（三）委托代理安排</w:t>
      </w:r>
    </w:p>
    <w:p w14:paraId="61052990">
      <w:pPr>
        <w:spacing w:line="560" w:lineRule="exact"/>
        <w:ind w:firstLine="640" w:firstLineChars="200"/>
        <w:jc w:val="left"/>
        <w:rPr>
          <w:rFonts w:ascii="仿宋" w:hAnsi="仿宋" w:eastAsia="仿宋" w:cs="仿宋"/>
          <w:i/>
          <w:color w:val="auto"/>
          <w:u w:val="single"/>
        </w:rPr>
      </w:pPr>
      <w:r>
        <w:rPr>
          <w:rFonts w:hint="eastAsia" w:ascii="仿宋" w:hAnsi="仿宋" w:eastAsia="仿宋" w:cs="仿宋"/>
          <w:i/>
          <w:iCs w:val="0"/>
          <w:color w:val="auto"/>
          <w:u w:val="single"/>
          <w:lang w:val="en-US" w:eastAsia="zh-CN"/>
        </w:rPr>
        <w:t>社会代理机构</w:t>
      </w:r>
      <w:r>
        <w:rPr>
          <w:rFonts w:hint="eastAsia" w:ascii="仿宋" w:hAnsi="仿宋" w:eastAsia="仿宋" w:cs="仿宋"/>
          <w:i/>
          <w:color w:val="auto"/>
          <w:u w:val="single"/>
        </w:rPr>
        <w:t>。</w:t>
      </w:r>
    </w:p>
    <w:p w14:paraId="53E5E9F6">
      <w:pPr>
        <w:spacing w:line="560" w:lineRule="exact"/>
        <w:ind w:firstLine="640" w:firstLineChars="200"/>
        <w:jc w:val="left"/>
        <w:outlineLvl w:val="1"/>
        <w:rPr>
          <w:rFonts w:ascii="仿宋" w:hAnsi="仿宋" w:eastAsia="仿宋" w:cs="仿宋"/>
          <w:color w:val="auto"/>
        </w:rPr>
      </w:pPr>
      <w:r>
        <w:rPr>
          <w:rFonts w:hint="eastAsia" w:ascii="仿宋" w:hAnsi="仿宋" w:eastAsia="仿宋" w:cs="仿宋"/>
          <w:color w:val="auto"/>
        </w:rPr>
        <w:t>（四）采购项目项目预（概）算及最高限价</w:t>
      </w:r>
    </w:p>
    <w:p w14:paraId="7F83D38C">
      <w:pPr>
        <w:spacing w:line="560" w:lineRule="exact"/>
        <w:ind w:firstLine="640" w:firstLineChars="200"/>
        <w:jc w:val="left"/>
        <w:rPr>
          <w:rFonts w:ascii="仿宋" w:hAnsi="仿宋" w:eastAsia="仿宋" w:cs="仿宋"/>
          <w:color w:val="auto"/>
          <w:u w:val="single"/>
        </w:rPr>
      </w:pPr>
      <w:r>
        <w:rPr>
          <w:rFonts w:hint="eastAsia" w:ascii="仿宋" w:hAnsi="仿宋" w:eastAsia="仿宋" w:cs="仿宋"/>
          <w:color w:val="auto"/>
        </w:rPr>
        <w:t>预（概）算：</w:t>
      </w:r>
      <w:r>
        <w:rPr>
          <w:rFonts w:hint="eastAsia" w:ascii="仿宋" w:hAnsi="仿宋" w:eastAsia="仿宋" w:cs="仿宋"/>
          <w:color w:val="auto"/>
          <w:u w:val="single"/>
        </w:rPr>
        <w:t xml:space="preserve"> </w:t>
      </w:r>
      <w:r>
        <w:rPr>
          <w:rFonts w:hint="eastAsia" w:ascii="宋体" w:hAnsi="宋体"/>
          <w:bCs/>
          <w:color w:val="auto"/>
          <w:szCs w:val="21"/>
          <w:highlight w:val="none"/>
          <w:u w:val="single"/>
          <w:lang w:val="en-US" w:eastAsia="zh-CN"/>
        </w:rPr>
        <w:t>1587100</w:t>
      </w:r>
      <w:r>
        <w:rPr>
          <w:rFonts w:hint="eastAsia" w:ascii="仿宋" w:hAnsi="仿宋" w:eastAsia="仿宋" w:cs="仿宋"/>
          <w:color w:val="auto"/>
          <w:u w:val="single"/>
          <w:lang w:val="en-US" w:eastAsia="zh-CN"/>
        </w:rPr>
        <w:t>.00元</w:t>
      </w:r>
      <w:r>
        <w:rPr>
          <w:rFonts w:hint="eastAsia" w:ascii="仿宋" w:hAnsi="仿宋" w:eastAsia="仿宋" w:cs="仿宋"/>
          <w:color w:val="auto"/>
          <w:u w:val="single"/>
        </w:rPr>
        <w:t xml:space="preserve">  </w:t>
      </w:r>
    </w:p>
    <w:p w14:paraId="5049676D">
      <w:pPr>
        <w:spacing w:line="560" w:lineRule="exact"/>
        <w:ind w:firstLine="640" w:firstLineChars="200"/>
        <w:jc w:val="left"/>
        <w:outlineLvl w:val="1"/>
        <w:rPr>
          <w:rFonts w:ascii="仿宋" w:hAnsi="仿宋" w:eastAsia="仿宋" w:cs="仿宋"/>
          <w:color w:val="auto"/>
        </w:rPr>
      </w:pPr>
      <w:r>
        <w:rPr>
          <w:rFonts w:hint="eastAsia" w:ascii="仿宋" w:hAnsi="仿宋" w:eastAsia="仿宋" w:cs="仿宋"/>
          <w:color w:val="auto"/>
        </w:rPr>
        <w:t>（五）采购包划分与合同分包</w:t>
      </w:r>
    </w:p>
    <w:tbl>
      <w:tblPr>
        <w:tblStyle w:val="18"/>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600"/>
        <w:gridCol w:w="2427"/>
        <w:gridCol w:w="1582"/>
        <w:gridCol w:w="955"/>
        <w:gridCol w:w="955"/>
        <w:gridCol w:w="1145"/>
        <w:gridCol w:w="1046"/>
      </w:tblGrid>
      <w:tr w14:paraId="074B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68939A16">
            <w:pPr>
              <w:spacing w:line="24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包号</w:t>
            </w:r>
          </w:p>
        </w:tc>
        <w:tc>
          <w:tcPr>
            <w:tcW w:w="600" w:type="dxa"/>
            <w:vAlign w:val="center"/>
          </w:tcPr>
          <w:p w14:paraId="73AF9B97">
            <w:pPr>
              <w:spacing w:line="24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序号</w:t>
            </w:r>
          </w:p>
        </w:tc>
        <w:tc>
          <w:tcPr>
            <w:tcW w:w="2427" w:type="dxa"/>
            <w:vAlign w:val="center"/>
          </w:tcPr>
          <w:p w14:paraId="75B64213">
            <w:pPr>
              <w:spacing w:line="24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标的名称</w:t>
            </w:r>
          </w:p>
        </w:tc>
        <w:tc>
          <w:tcPr>
            <w:tcW w:w="1582" w:type="dxa"/>
            <w:vAlign w:val="center"/>
          </w:tcPr>
          <w:p w14:paraId="597468D0">
            <w:pPr>
              <w:spacing w:line="24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品目</w:t>
            </w:r>
          </w:p>
          <w:p w14:paraId="46D3C44E">
            <w:pPr>
              <w:spacing w:line="24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分类编码</w:t>
            </w:r>
          </w:p>
        </w:tc>
        <w:tc>
          <w:tcPr>
            <w:tcW w:w="955" w:type="dxa"/>
            <w:vAlign w:val="center"/>
          </w:tcPr>
          <w:p w14:paraId="2358C0B7">
            <w:pPr>
              <w:spacing w:line="24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计量</w:t>
            </w:r>
          </w:p>
          <w:p w14:paraId="59A91927">
            <w:pPr>
              <w:spacing w:line="24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单位</w:t>
            </w:r>
          </w:p>
        </w:tc>
        <w:tc>
          <w:tcPr>
            <w:tcW w:w="955" w:type="dxa"/>
            <w:vAlign w:val="center"/>
          </w:tcPr>
          <w:p w14:paraId="2AB97E47">
            <w:pPr>
              <w:spacing w:line="24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数量</w:t>
            </w:r>
          </w:p>
        </w:tc>
        <w:tc>
          <w:tcPr>
            <w:tcW w:w="1145" w:type="dxa"/>
            <w:vAlign w:val="center"/>
          </w:tcPr>
          <w:p w14:paraId="5A7F1DB6">
            <w:pPr>
              <w:spacing w:line="24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是否</w:t>
            </w:r>
          </w:p>
          <w:p w14:paraId="6F0034CF">
            <w:pPr>
              <w:spacing w:line="24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进口</w:t>
            </w:r>
          </w:p>
        </w:tc>
        <w:tc>
          <w:tcPr>
            <w:tcW w:w="1046" w:type="dxa"/>
            <w:vAlign w:val="center"/>
          </w:tcPr>
          <w:p w14:paraId="12E2E91A">
            <w:pPr>
              <w:spacing w:line="24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分包</w:t>
            </w:r>
          </w:p>
          <w:p w14:paraId="2845D97D">
            <w:pPr>
              <w:spacing w:line="24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要求</w:t>
            </w:r>
          </w:p>
        </w:tc>
      </w:tr>
      <w:tr w14:paraId="57BB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19C0F92B">
            <w:pPr>
              <w:adjustRightInd w:val="0"/>
              <w:snapToGrid w:val="0"/>
              <w:spacing w:line="560" w:lineRule="exact"/>
              <w:ind w:firstLine="0" w:firstLineChars="0"/>
              <w:jc w:val="center"/>
              <w:rPr>
                <w:rFonts w:ascii="仿宋" w:hAnsi="仿宋" w:eastAsia="仿宋" w:cs="仿宋"/>
                <w:color w:val="auto"/>
                <w:sz w:val="32"/>
                <w:szCs w:val="32"/>
              </w:rPr>
            </w:pPr>
            <w:r>
              <w:rPr>
                <w:rFonts w:hint="eastAsia" w:ascii="仿宋" w:hAnsi="仿宋" w:eastAsia="仿宋" w:cs="仿宋"/>
                <w:color w:val="auto"/>
                <w:sz w:val="32"/>
                <w:szCs w:val="32"/>
                <w:lang w:val="en-US" w:eastAsia="zh-CN"/>
              </w:rPr>
              <w:t>/</w:t>
            </w:r>
          </w:p>
        </w:tc>
        <w:tc>
          <w:tcPr>
            <w:tcW w:w="600" w:type="dxa"/>
            <w:vAlign w:val="center"/>
          </w:tcPr>
          <w:p w14:paraId="290B1A7F">
            <w:pPr>
              <w:adjustRightInd w:val="0"/>
              <w:snapToGrid w:val="0"/>
              <w:spacing w:line="560" w:lineRule="exact"/>
              <w:jc w:val="both"/>
              <w:rPr>
                <w:rFonts w:hint="eastAsia" w:ascii="仿宋" w:hAnsi="仿宋" w:eastAsia="仿宋" w:cs="仿宋"/>
                <w:color w:val="auto"/>
                <w:sz w:val="32"/>
                <w:szCs w:val="32"/>
                <w:lang w:val="en-US" w:eastAsia="zh-CN"/>
              </w:rPr>
            </w:pPr>
            <w:r>
              <w:rPr>
                <w:rFonts w:hint="eastAsia" w:ascii="仿宋" w:hAnsi="仿宋" w:eastAsia="仿宋" w:cs="仿宋"/>
                <w:i w:val="0"/>
                <w:iCs/>
                <w:color w:val="auto"/>
                <w:sz w:val="32"/>
                <w:szCs w:val="32"/>
                <w:u w:val="none"/>
                <w:lang w:val="en-US" w:eastAsia="zh-CN"/>
              </w:rPr>
              <w:t>1</w:t>
            </w:r>
          </w:p>
        </w:tc>
        <w:tc>
          <w:tcPr>
            <w:tcW w:w="2427" w:type="dxa"/>
            <w:vAlign w:val="center"/>
          </w:tcPr>
          <w:p w14:paraId="59FC8FAF">
            <w:pPr>
              <w:adjustRightInd w:val="0"/>
              <w:snapToGrid w:val="0"/>
              <w:spacing w:line="560" w:lineRule="exact"/>
              <w:jc w:val="center"/>
              <w:rPr>
                <w:rFonts w:ascii="仿宋" w:hAnsi="仿宋" w:eastAsia="仿宋" w:cs="仿宋"/>
                <w:i w:val="0"/>
                <w:iCs/>
                <w:color w:val="auto"/>
                <w:sz w:val="32"/>
                <w:szCs w:val="32"/>
                <w:u w:val="single"/>
              </w:rPr>
            </w:pPr>
            <w:r>
              <w:rPr>
                <w:rFonts w:hint="eastAsia" w:ascii="仿宋" w:hAnsi="仿宋" w:eastAsia="仿宋" w:cs="仿宋"/>
                <w:i w:val="0"/>
                <w:iCs/>
                <w:color w:val="auto"/>
                <w:sz w:val="32"/>
                <w:szCs w:val="32"/>
                <w:u w:val="single"/>
              </w:rPr>
              <w:t>广东省深圳市龙岗区消防救援大队龙岗区电动自行车智慧防控系统项目</w:t>
            </w:r>
          </w:p>
        </w:tc>
        <w:tc>
          <w:tcPr>
            <w:tcW w:w="1582" w:type="dxa"/>
            <w:vAlign w:val="center"/>
          </w:tcPr>
          <w:p w14:paraId="58A6D9F1">
            <w:pPr>
              <w:adjustRightInd w:val="0"/>
              <w:snapToGrid w:val="0"/>
              <w:spacing w:line="560" w:lineRule="exact"/>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软件开发</w:t>
            </w:r>
          </w:p>
        </w:tc>
        <w:tc>
          <w:tcPr>
            <w:tcW w:w="955" w:type="dxa"/>
            <w:vAlign w:val="center"/>
          </w:tcPr>
          <w:p w14:paraId="73C04AD0">
            <w:pPr>
              <w:adjustRightInd w:val="0"/>
              <w:snapToGrid w:val="0"/>
              <w:spacing w:line="560" w:lineRule="exact"/>
              <w:ind w:firstLine="0" w:firstLineChars="0"/>
              <w:jc w:val="center"/>
              <w:rPr>
                <w:rFonts w:ascii="仿宋" w:hAnsi="仿宋" w:eastAsia="仿宋" w:cs="仿宋"/>
                <w:color w:val="auto"/>
                <w:sz w:val="32"/>
                <w:szCs w:val="32"/>
              </w:rPr>
            </w:pPr>
            <w:r>
              <w:rPr>
                <w:rFonts w:hint="eastAsia" w:ascii="仿宋" w:hAnsi="仿宋" w:eastAsia="仿宋" w:cs="仿宋"/>
                <w:color w:val="auto"/>
                <w:sz w:val="32"/>
                <w:szCs w:val="32"/>
                <w:lang w:val="en-US" w:eastAsia="zh-CN"/>
              </w:rPr>
              <w:t>项</w:t>
            </w:r>
          </w:p>
        </w:tc>
        <w:tc>
          <w:tcPr>
            <w:tcW w:w="955" w:type="dxa"/>
            <w:vAlign w:val="center"/>
          </w:tcPr>
          <w:p w14:paraId="4EA7B060">
            <w:pPr>
              <w:adjustRightInd w:val="0"/>
              <w:snapToGrid w:val="0"/>
              <w:spacing w:line="560" w:lineRule="exact"/>
              <w:jc w:val="center"/>
              <w:rPr>
                <w:rFonts w:hint="default" w:ascii="仿宋" w:hAnsi="仿宋" w:eastAsia="仿宋" w:cs="仿宋"/>
                <w:color w:val="auto"/>
                <w:sz w:val="32"/>
                <w:szCs w:val="32"/>
                <w:lang w:val="en-US"/>
              </w:rPr>
            </w:pPr>
            <w:r>
              <w:rPr>
                <w:rFonts w:hint="eastAsia" w:ascii="仿宋" w:hAnsi="仿宋" w:eastAsia="仿宋" w:cs="仿宋"/>
                <w:color w:val="auto"/>
                <w:sz w:val="32"/>
                <w:szCs w:val="32"/>
                <w:lang w:val="en-US" w:eastAsia="zh-CN"/>
              </w:rPr>
              <w:t>1</w:t>
            </w:r>
          </w:p>
        </w:tc>
        <w:tc>
          <w:tcPr>
            <w:tcW w:w="1145" w:type="dxa"/>
            <w:vAlign w:val="center"/>
          </w:tcPr>
          <w:p w14:paraId="5DDB8585">
            <w:pPr>
              <w:adjustRightInd w:val="0"/>
              <w:snapToGrid w:val="0"/>
              <w:spacing w:line="560" w:lineRule="exact"/>
              <w:ind w:firstLine="320" w:firstLineChars="100"/>
              <w:jc w:val="both"/>
              <w:rPr>
                <w:rFonts w:ascii="仿宋" w:hAnsi="仿宋" w:eastAsia="仿宋" w:cs="仿宋"/>
                <w:color w:val="auto"/>
                <w:sz w:val="32"/>
                <w:szCs w:val="32"/>
              </w:rPr>
            </w:pPr>
            <w:r>
              <w:rPr>
                <w:rFonts w:hint="eastAsia" w:ascii="仿宋" w:hAnsi="仿宋" w:eastAsia="仿宋" w:cs="仿宋"/>
                <w:color w:val="auto"/>
                <w:sz w:val="32"/>
                <w:szCs w:val="32"/>
                <w:lang w:val="en-US" w:eastAsia="zh-CN"/>
              </w:rPr>
              <w:t>否</w:t>
            </w:r>
          </w:p>
        </w:tc>
        <w:tc>
          <w:tcPr>
            <w:tcW w:w="1046" w:type="dxa"/>
            <w:vAlign w:val="center"/>
          </w:tcPr>
          <w:p w14:paraId="4F7F6157">
            <w:pPr>
              <w:adjustRightInd w:val="0"/>
              <w:snapToGrid w:val="0"/>
              <w:spacing w:line="560" w:lineRule="exact"/>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p>
        </w:tc>
      </w:tr>
    </w:tbl>
    <w:p w14:paraId="6D517251">
      <w:pPr>
        <w:numPr>
          <w:ilvl w:val="0"/>
          <w:numId w:val="1"/>
        </w:numPr>
        <w:spacing w:line="560" w:lineRule="exact"/>
        <w:ind w:firstLine="643"/>
        <w:jc w:val="left"/>
        <w:rPr>
          <w:rFonts w:ascii="仿宋" w:hAnsi="仿宋" w:eastAsia="仿宋" w:cs="仿宋"/>
          <w:b/>
          <w:bCs/>
          <w:color w:val="auto"/>
        </w:rPr>
      </w:pPr>
      <w:r>
        <w:rPr>
          <w:rFonts w:hint="eastAsia" w:ascii="仿宋" w:hAnsi="仿宋" w:eastAsia="仿宋" w:cs="仿宋"/>
          <w:b/>
          <w:bCs/>
          <w:color w:val="auto"/>
        </w:rPr>
        <w:t>政策扶持</w:t>
      </w:r>
    </w:p>
    <w:p w14:paraId="5EC72742">
      <w:pPr>
        <w:spacing w:line="560" w:lineRule="exact"/>
        <w:outlineLvl w:val="2"/>
        <w:rPr>
          <w:rFonts w:ascii="仿宋" w:hAnsi="仿宋" w:eastAsia="仿宋" w:cs="仿宋"/>
          <w:color w:val="FF0000"/>
        </w:rPr>
      </w:pPr>
      <w:r>
        <w:rPr>
          <w:rFonts w:hint="eastAsia" w:ascii="仿宋" w:hAnsi="仿宋" w:eastAsia="仿宋" w:cs="仿宋"/>
          <w:color w:val="FF0000"/>
        </w:rPr>
        <w:t>1、计划是否面向中小企业采购：</w:t>
      </w:r>
    </w:p>
    <w:p w14:paraId="5C22E18D">
      <w:pPr>
        <w:spacing w:line="560" w:lineRule="exact"/>
        <w:outlineLvl w:val="3"/>
        <w:rPr>
          <w:rFonts w:ascii="仿宋" w:hAnsi="仿宋" w:eastAsia="仿宋" w:cs="仿宋"/>
          <w:color w:val="FF0000"/>
        </w:rPr>
      </w:pPr>
      <w:r>
        <w:rPr>
          <w:rFonts w:hint="eastAsia" w:ascii="仿宋" w:hAnsi="仿宋" w:eastAsia="仿宋" w:cs="仿宋"/>
          <w:color w:val="FF0000"/>
        </w:rPr>
        <w:t>（1）</w:t>
      </w:r>
      <w:r>
        <w:rPr>
          <w:rFonts w:hint="eastAsia" w:ascii="仿宋" w:hAnsi="仿宋" w:eastAsia="仿宋" w:cs="仿宋"/>
          <w:color w:val="FF0000"/>
          <w:lang w:eastAsia="zh-CN"/>
        </w:rPr>
        <w:sym w:font="Wingdings 2" w:char="00A3"/>
      </w:r>
      <w:r>
        <w:rPr>
          <w:rFonts w:hint="eastAsia" w:ascii="仿宋" w:hAnsi="仿宋" w:eastAsia="仿宋" w:cs="仿宋"/>
          <w:color w:val="FF0000"/>
          <w:lang w:val="en-US" w:eastAsia="zh-CN"/>
        </w:rPr>
        <w:t>否、</w:t>
      </w:r>
      <w:r>
        <w:rPr>
          <w:rFonts w:hint="eastAsia" w:ascii="仿宋" w:hAnsi="仿宋" w:eastAsia="仿宋" w:cs="仿宋"/>
          <w:color w:val="FF0000"/>
          <w:lang w:eastAsia="zh-CN"/>
        </w:rPr>
        <w:t>☑</w:t>
      </w:r>
      <w:r>
        <w:rPr>
          <w:rFonts w:hint="eastAsia" w:ascii="仿宋" w:hAnsi="仿宋" w:eastAsia="仿宋" w:cs="仿宋"/>
          <w:color w:val="FF0000"/>
        </w:rPr>
        <w:t>是：</w:t>
      </w:r>
    </w:p>
    <w:p w14:paraId="5549D72B">
      <w:pPr>
        <w:spacing w:line="560" w:lineRule="exact"/>
        <w:rPr>
          <w:rFonts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rPr>
        <w:t xml:space="preserve">整体面向中小企业采购；  </w:t>
      </w:r>
    </w:p>
    <w:p w14:paraId="1E583300">
      <w:pPr>
        <w:spacing w:line="560" w:lineRule="exact"/>
        <w:rPr>
          <w:rFonts w:ascii="仿宋" w:hAnsi="仿宋" w:eastAsia="仿宋" w:cs="仿宋"/>
          <w:color w:val="FF0000"/>
        </w:rPr>
      </w:pPr>
      <w:r>
        <w:rPr>
          <w:rFonts w:hint="eastAsia" w:ascii="仿宋" w:hAnsi="仿宋" w:eastAsia="仿宋" w:cs="仿宋"/>
          <w:color w:val="FF0000"/>
          <w:lang w:eastAsia="zh-CN"/>
        </w:rPr>
        <w:t>□</w:t>
      </w:r>
      <w:r>
        <w:rPr>
          <w:rFonts w:hint="eastAsia" w:ascii="仿宋" w:hAnsi="仿宋" w:eastAsia="仿宋" w:cs="仿宋"/>
          <w:color w:val="FF0000"/>
        </w:rPr>
        <w:t>预留预算总额的</w:t>
      </w:r>
      <w:r>
        <w:rPr>
          <w:rFonts w:hint="eastAsia" w:ascii="仿宋" w:hAnsi="仿宋" w:eastAsia="仿宋" w:cs="仿宋"/>
          <w:color w:val="FF0000"/>
          <w:u w:val="single"/>
        </w:rPr>
        <w:t xml:space="preserve"> </w:t>
      </w:r>
      <w:r>
        <w:rPr>
          <w:rFonts w:hint="eastAsia" w:ascii="仿宋" w:hAnsi="仿宋" w:eastAsia="仿宋" w:cs="仿宋"/>
          <w:color w:val="FF0000"/>
          <w:u w:val="single"/>
          <w:lang w:val="en-US" w:eastAsia="zh-CN"/>
        </w:rPr>
        <w:t>30</w:t>
      </w:r>
      <w:r>
        <w:rPr>
          <w:rFonts w:hint="eastAsia" w:ascii="仿宋" w:hAnsi="仿宋" w:eastAsia="仿宋" w:cs="仿宋"/>
          <w:color w:val="FF0000"/>
          <w:u w:val="single"/>
        </w:rPr>
        <w:t xml:space="preserve">  </w:t>
      </w:r>
      <w:r>
        <w:rPr>
          <w:rFonts w:hint="eastAsia" w:ascii="仿宋" w:hAnsi="仿宋" w:eastAsia="仿宋" w:cs="仿宋"/>
          <w:color w:val="FF0000"/>
        </w:rPr>
        <w:t>%专门面向中小企业采购(三选一)</w:t>
      </w:r>
    </w:p>
    <w:p w14:paraId="7ECF48D1">
      <w:pPr>
        <w:pStyle w:val="15"/>
        <w:widowControl/>
        <w:spacing w:beforeAutospacing="0" w:afterAutospacing="0" w:line="560" w:lineRule="exact"/>
        <w:ind w:firstLine="640"/>
        <w:textAlignment w:val="baseline"/>
        <w:outlineLvl w:val="4"/>
        <w:rPr>
          <w:rFonts w:ascii="仿宋" w:hAnsi="仿宋" w:eastAsia="仿宋" w:cs="仿宋"/>
          <w:color w:val="auto"/>
          <w:sz w:val="32"/>
          <w:shd w:val="clear" w:color="auto" w:fill="FFFFFF"/>
        </w:rPr>
      </w:pPr>
      <w:r>
        <w:rPr>
          <w:rFonts w:hint="eastAsia" w:ascii="仿宋" w:hAnsi="仿宋" w:eastAsia="仿宋" w:cs="仿宋"/>
          <w:color w:val="auto"/>
          <w:sz w:val="32"/>
          <w:shd w:val="clear" w:color="auto" w:fill="FFFFFF"/>
        </w:rPr>
        <w:t>①采购项目整体或者设置采购包专门面向中小企业采购；</w:t>
      </w:r>
    </w:p>
    <w:p w14:paraId="7AE05579">
      <w:pPr>
        <w:pStyle w:val="15"/>
        <w:widowControl/>
        <w:spacing w:beforeAutospacing="0" w:afterAutospacing="0" w:line="560" w:lineRule="exact"/>
        <w:ind w:firstLine="640"/>
        <w:textAlignment w:val="baseline"/>
        <w:rPr>
          <w:rFonts w:ascii="仿宋" w:hAnsi="仿宋" w:eastAsia="仿宋" w:cs="仿宋"/>
          <w:color w:val="auto"/>
          <w:sz w:val="32"/>
          <w:shd w:val="clear" w:color="auto" w:fill="FFFFFF"/>
        </w:rPr>
      </w:pPr>
      <w:r>
        <w:rPr>
          <w:rFonts w:hint="eastAsia" w:ascii="仿宋" w:hAnsi="仿宋" w:eastAsia="仿宋" w:cs="仿宋"/>
          <w:color w:val="auto"/>
          <w:sz w:val="32"/>
          <w:shd w:val="clear" w:color="auto" w:fill="FFFFFF"/>
        </w:rPr>
        <w:t>②供应商以联合体形式参加采购活动，联合体中中小企业承担预算总额的</w:t>
      </w:r>
      <w:r>
        <w:rPr>
          <w:rFonts w:hint="eastAsia" w:ascii="仿宋" w:hAnsi="仿宋" w:eastAsia="仿宋" w:cs="仿宋"/>
          <w:color w:val="auto"/>
          <w:sz w:val="32"/>
          <w:u w:val="single"/>
        </w:rPr>
        <w:t xml:space="preserve">   </w:t>
      </w:r>
      <w:r>
        <w:rPr>
          <w:rFonts w:hint="eastAsia" w:ascii="仿宋" w:hAnsi="仿宋" w:eastAsia="仿宋" w:cs="仿宋"/>
          <w:color w:val="auto"/>
          <w:sz w:val="32"/>
        </w:rPr>
        <w:t>%</w:t>
      </w:r>
      <w:r>
        <w:rPr>
          <w:rFonts w:hint="eastAsia" w:ascii="仿宋" w:hAnsi="仿宋" w:eastAsia="仿宋" w:cs="仿宋"/>
          <w:color w:val="auto"/>
          <w:sz w:val="32"/>
          <w:shd w:val="clear" w:color="auto" w:fill="FFFFFF"/>
        </w:rPr>
        <w:t>部分；</w:t>
      </w:r>
    </w:p>
    <w:p w14:paraId="08CABBEC">
      <w:pPr>
        <w:pStyle w:val="15"/>
        <w:widowControl/>
        <w:spacing w:beforeAutospacing="0" w:afterAutospacing="0" w:line="560" w:lineRule="exact"/>
        <w:ind w:firstLine="640"/>
        <w:textAlignment w:val="baseline"/>
        <w:rPr>
          <w:rFonts w:ascii="仿宋" w:hAnsi="仿宋" w:eastAsia="仿宋" w:cs="仿宋"/>
          <w:color w:val="auto"/>
          <w:sz w:val="32"/>
        </w:rPr>
      </w:pPr>
      <w:r>
        <w:rPr>
          <w:rFonts w:hint="eastAsia" w:ascii="仿宋" w:hAnsi="仿宋" w:eastAsia="仿宋" w:cs="仿宋"/>
          <w:color w:val="auto"/>
          <w:sz w:val="32"/>
          <w:shd w:val="clear" w:color="auto" w:fill="FFFFFF"/>
        </w:rPr>
        <w:t>③获得采购合同的供应商将采购项目中的30%分包给一家或者多家中小企业，其中60%应当分包给一家或者多家小微企业。</w:t>
      </w:r>
    </w:p>
    <w:p w14:paraId="3A4BF4CB">
      <w:pPr>
        <w:spacing w:line="560" w:lineRule="exact"/>
        <w:rPr>
          <w:rFonts w:ascii="仿宋" w:hAnsi="仿宋" w:eastAsia="仿宋" w:cs="仿宋"/>
          <w:color w:val="auto"/>
        </w:rPr>
      </w:pPr>
      <w:r>
        <w:rPr>
          <w:rFonts w:hint="eastAsia" w:ascii="仿宋" w:hAnsi="仿宋" w:eastAsia="仿宋" w:cs="仿宋"/>
          <w:color w:val="auto"/>
        </w:rPr>
        <w:t>备注：采购限额标准以上，200万元以下的货物和服务采购项目、400万元以下的工程采购项目，适宜由中小企业提供的，应当专门面向中小企业采购。</w:t>
      </w:r>
    </w:p>
    <w:p w14:paraId="334B6EC0">
      <w:pPr>
        <w:numPr>
          <w:ilvl w:val="0"/>
          <w:numId w:val="2"/>
        </w:numPr>
        <w:spacing w:line="560" w:lineRule="exact"/>
        <w:ind w:firstLine="640" w:firstLineChars="200"/>
        <w:rPr>
          <w:rFonts w:ascii="仿宋" w:hAnsi="仿宋" w:eastAsia="仿宋" w:cs="仿宋"/>
          <w:color w:val="auto"/>
        </w:rPr>
      </w:pPr>
      <w:r>
        <w:rPr>
          <w:rFonts w:hint="eastAsia" w:ascii="仿宋" w:hAnsi="仿宋" w:eastAsia="仿宋" w:cs="仿宋"/>
          <w:color w:val="auto"/>
        </w:rPr>
        <w:sym w:font="Wingdings 2" w:char="00A3"/>
      </w:r>
      <w:r>
        <w:rPr>
          <w:rFonts w:hint="eastAsia" w:ascii="仿宋" w:hAnsi="仿宋" w:eastAsia="仿宋" w:cs="仿宋"/>
          <w:color w:val="auto"/>
        </w:rPr>
        <w:t>否：项目不适用专门面向中小企业，根据《政府采购促进中小企业发展管理办法》财库【2020】46号的规定，符合下列情形之一的，可不专门面向中小企业预留采购份额：</w:t>
      </w:r>
    </w:p>
    <w:p w14:paraId="0A82091E">
      <w:pPr>
        <w:spacing w:line="560" w:lineRule="exact"/>
        <w:ind w:firstLine="640" w:firstLineChars="200"/>
        <w:rPr>
          <w:rFonts w:ascii="仿宋" w:hAnsi="仿宋" w:eastAsia="仿宋" w:cs="仿宋"/>
          <w:color w:val="auto"/>
        </w:rPr>
      </w:pPr>
      <w:r>
        <w:rPr>
          <w:rFonts w:hint="eastAsia" w:ascii="仿宋" w:hAnsi="仿宋" w:eastAsia="仿宋" w:cs="仿宋"/>
          <w:color w:val="auto"/>
        </w:rPr>
        <w:t>①法律法规和国家有关政策明确规定优先或者应当面向事业单位、社会组织等非企业主体采购的；</w:t>
      </w:r>
    </w:p>
    <w:p w14:paraId="0B4A2819">
      <w:pPr>
        <w:spacing w:line="560" w:lineRule="exact"/>
        <w:ind w:firstLine="640" w:firstLineChars="200"/>
        <w:rPr>
          <w:rFonts w:ascii="仿宋" w:hAnsi="仿宋" w:eastAsia="仿宋" w:cs="仿宋"/>
          <w:color w:val="auto"/>
        </w:rPr>
      </w:pPr>
      <w:r>
        <w:rPr>
          <w:rFonts w:hint="eastAsia" w:ascii="仿宋" w:hAnsi="仿宋" w:eastAsia="仿宋" w:cs="仿宋"/>
          <w:color w:val="auto"/>
        </w:rPr>
        <w:t>②因确需使用不可替代的专利、专有技术，基础设施限制，或者提供特定公共服务等原因，只能从中小企业之外的供应商处采购的；</w:t>
      </w:r>
    </w:p>
    <w:p w14:paraId="37587BF5">
      <w:pPr>
        <w:spacing w:line="560" w:lineRule="exact"/>
        <w:ind w:firstLine="640" w:firstLineChars="200"/>
        <w:rPr>
          <w:rFonts w:ascii="仿宋" w:hAnsi="仿宋" w:eastAsia="仿宋" w:cs="仿宋"/>
          <w:color w:val="auto"/>
        </w:rPr>
      </w:pPr>
      <w:r>
        <w:rPr>
          <w:rFonts w:hint="eastAsia" w:ascii="仿宋" w:hAnsi="仿宋" w:eastAsia="仿宋" w:cs="仿宋"/>
          <w:color w:val="auto"/>
        </w:rPr>
        <w:t>③按照本办法规定预留采购份额无法确保充分供应、充分竞争，或者存在可能影响政府采购目标实现的情形；</w:t>
      </w:r>
    </w:p>
    <w:p w14:paraId="60B304C6">
      <w:pPr>
        <w:spacing w:line="560" w:lineRule="exact"/>
        <w:ind w:firstLine="640" w:firstLineChars="200"/>
        <w:rPr>
          <w:rFonts w:ascii="仿宋" w:hAnsi="仿宋" w:eastAsia="仿宋" w:cs="仿宋"/>
          <w:color w:val="auto"/>
        </w:rPr>
      </w:pPr>
      <w:r>
        <w:rPr>
          <w:rFonts w:hint="eastAsia" w:ascii="仿宋" w:hAnsi="仿宋" w:eastAsia="仿宋" w:cs="仿宋"/>
          <w:color w:val="auto"/>
        </w:rPr>
        <w:t>④框架协议采购项目；</w:t>
      </w:r>
    </w:p>
    <w:p w14:paraId="3FE91178">
      <w:pPr>
        <w:spacing w:line="560" w:lineRule="exact"/>
        <w:ind w:firstLine="640" w:firstLineChars="200"/>
        <w:rPr>
          <w:rFonts w:ascii="仿宋" w:hAnsi="仿宋" w:eastAsia="仿宋" w:cs="仿宋"/>
          <w:color w:val="auto"/>
        </w:rPr>
      </w:pPr>
      <w:r>
        <w:rPr>
          <w:rFonts w:hint="eastAsia" w:ascii="仿宋" w:hAnsi="仿宋" w:eastAsia="仿宋" w:cs="仿宋"/>
          <w:color w:val="auto"/>
        </w:rPr>
        <w:t>⑤省级以上人民政府财政部门规定的其他情形。</w:t>
      </w:r>
    </w:p>
    <w:p w14:paraId="615392A0">
      <w:pPr>
        <w:spacing w:line="560" w:lineRule="exact"/>
        <w:ind w:firstLine="640" w:firstLineChars="200"/>
        <w:rPr>
          <w:rFonts w:ascii="仿宋" w:hAnsi="仿宋" w:eastAsia="仿宋" w:cs="仿宋"/>
          <w:color w:val="auto"/>
        </w:rPr>
      </w:pPr>
      <w:r>
        <w:rPr>
          <w:rFonts w:hint="eastAsia" w:ascii="仿宋" w:hAnsi="仿宋" w:eastAsia="仿宋" w:cs="仿宋"/>
          <w:color w:val="auto"/>
        </w:rPr>
        <w:t>除上述情形外，其他均为适宜由中小企业提供的情形。</w:t>
      </w:r>
    </w:p>
    <w:p w14:paraId="5F4A46A2">
      <w:pPr>
        <w:spacing w:line="560" w:lineRule="exact"/>
        <w:ind w:firstLine="640" w:firstLineChars="200"/>
        <w:rPr>
          <w:rFonts w:ascii="仿宋" w:hAnsi="仿宋" w:eastAsia="仿宋" w:cs="仿宋"/>
          <w:color w:val="auto"/>
        </w:rPr>
      </w:pPr>
      <w:r>
        <w:rPr>
          <w:rFonts w:hint="eastAsia" w:ascii="仿宋" w:hAnsi="仿宋" w:eastAsia="仿宋" w:cs="仿宋"/>
          <w:color w:val="auto"/>
        </w:rPr>
        <w:t>超过200万元的货物和服务采购项目、超过400万元的工程采购项目，可勾选此项，并采购项目预算总额的30%以上专门面向中小企业采购，其中预留给小微企业的比例不低于60%。预留份额通过下列措施进行：</w:t>
      </w:r>
    </w:p>
    <w:p w14:paraId="134541CF">
      <w:pPr>
        <w:spacing w:line="560" w:lineRule="exact"/>
        <w:ind w:firstLine="640" w:firstLineChars="200"/>
        <w:outlineLvl w:val="9"/>
        <w:rPr>
          <w:rFonts w:ascii="仿宋" w:hAnsi="仿宋" w:eastAsia="仿宋" w:cs="仿宋"/>
          <w:color w:val="auto"/>
        </w:rPr>
      </w:pPr>
      <w:r>
        <w:rPr>
          <w:rFonts w:hint="eastAsia" w:ascii="仿宋" w:hAnsi="仿宋" w:eastAsia="仿宋" w:cs="仿宋"/>
          <w:color w:val="auto"/>
        </w:rPr>
        <w:t>（一）将采购项目整体或者设置采购包专门面向中小企业采购；</w:t>
      </w:r>
    </w:p>
    <w:p w14:paraId="7008CBBE">
      <w:pPr>
        <w:spacing w:line="560" w:lineRule="exact"/>
        <w:ind w:firstLine="640" w:firstLineChars="200"/>
        <w:rPr>
          <w:rFonts w:ascii="仿宋" w:hAnsi="仿宋" w:eastAsia="仿宋" w:cs="仿宋"/>
          <w:color w:val="auto"/>
        </w:rPr>
      </w:pPr>
      <w:r>
        <w:rPr>
          <w:rFonts w:hint="eastAsia" w:ascii="仿宋" w:hAnsi="仿宋" w:eastAsia="仿宋" w:cs="仿宋"/>
          <w:color w:val="auto"/>
        </w:rPr>
        <w:t>（二）要求供应商以联合体形式参加采购活动，且联合体中中小企业承担的部分达到一定比例；</w:t>
      </w:r>
    </w:p>
    <w:p w14:paraId="3C1B3F0C">
      <w:pPr>
        <w:spacing w:line="560" w:lineRule="exact"/>
        <w:ind w:firstLine="640" w:firstLineChars="200"/>
        <w:rPr>
          <w:rFonts w:ascii="仿宋" w:hAnsi="仿宋" w:eastAsia="仿宋" w:cs="仿宋"/>
          <w:color w:val="auto"/>
        </w:rPr>
      </w:pPr>
      <w:r>
        <w:rPr>
          <w:rFonts w:hint="eastAsia" w:ascii="仿宋" w:hAnsi="仿宋" w:eastAsia="仿宋" w:cs="仿宋"/>
          <w:color w:val="auto"/>
        </w:rPr>
        <w:t>（三）要求获得采购合同的供应商将采购项目中的一定比例分包给一家或者多家中小企业。</w:t>
      </w:r>
    </w:p>
    <w:p w14:paraId="429A1F66">
      <w:pPr>
        <w:spacing w:line="560" w:lineRule="exact"/>
        <w:ind w:firstLine="640" w:firstLineChars="200"/>
        <w:rPr>
          <w:rFonts w:ascii="仿宋" w:hAnsi="仿宋" w:eastAsia="仿宋" w:cs="仿宋"/>
          <w:color w:val="auto"/>
        </w:rPr>
      </w:pPr>
      <w:r>
        <w:rPr>
          <w:rFonts w:hint="eastAsia" w:ascii="仿宋" w:hAnsi="仿宋" w:eastAsia="仿宋" w:cs="仿宋"/>
          <w:color w:val="auto"/>
        </w:rPr>
        <w:t>注意：资格要求中的是否接受联合体、是否接受分包需对应勾选。</w:t>
      </w:r>
    </w:p>
    <w:p w14:paraId="7D8714D8">
      <w:pPr>
        <w:spacing w:line="560" w:lineRule="exact"/>
        <w:ind w:firstLine="640" w:firstLineChars="200"/>
        <w:rPr>
          <w:rFonts w:ascii="仿宋" w:hAnsi="仿宋" w:eastAsia="仿宋" w:cs="仿宋"/>
          <w:color w:val="auto"/>
        </w:rPr>
      </w:pPr>
      <w:r>
        <w:rPr>
          <w:rFonts w:hint="eastAsia" w:ascii="仿宋" w:hAnsi="仿宋" w:eastAsia="仿宋" w:cs="仿宋"/>
          <w:color w:val="auto"/>
        </w:rPr>
        <w:t>2、小微企业报价优惠：</w:t>
      </w:r>
      <w:r>
        <w:rPr>
          <w:rFonts w:hint="eastAsia" w:ascii="仿宋" w:hAnsi="仿宋" w:eastAsia="仿宋" w:cs="仿宋"/>
          <w:color w:val="auto"/>
          <w:u w:val="single"/>
        </w:rPr>
        <w:t xml:space="preserve">   </w:t>
      </w:r>
      <w:r>
        <w:rPr>
          <w:rFonts w:hint="eastAsia" w:ascii="仿宋" w:hAnsi="仿宋" w:eastAsia="仿宋" w:cs="仿宋"/>
          <w:color w:val="auto"/>
        </w:rPr>
        <w:t>%  （联合体</w:t>
      </w:r>
      <w:r>
        <w:rPr>
          <w:rFonts w:hint="eastAsia" w:ascii="仿宋" w:hAnsi="仿宋" w:eastAsia="仿宋" w:cs="仿宋"/>
          <w:color w:val="auto"/>
          <w:u w:val="single"/>
        </w:rPr>
        <w:t xml:space="preserve">  </w:t>
      </w:r>
      <w:r>
        <w:rPr>
          <w:rFonts w:hint="eastAsia" w:ascii="仿宋" w:hAnsi="仿宋" w:eastAsia="仿宋" w:cs="仿宋"/>
          <w:color w:val="auto"/>
        </w:rPr>
        <w:t>%）</w:t>
      </w:r>
    </w:p>
    <w:p w14:paraId="2201F570">
      <w:pPr>
        <w:spacing w:line="560" w:lineRule="exact"/>
        <w:ind w:firstLine="640" w:firstLineChars="200"/>
        <w:rPr>
          <w:rFonts w:ascii="仿宋" w:hAnsi="仿宋" w:eastAsia="仿宋" w:cs="仿宋"/>
          <w:color w:val="auto"/>
          <w:u w:val="single"/>
        </w:rPr>
      </w:pPr>
      <w:r>
        <w:rPr>
          <w:rFonts w:hint="eastAsia" w:ascii="仿宋" w:hAnsi="仿宋" w:eastAsia="仿宋" w:cs="仿宋"/>
          <w:color w:val="auto"/>
        </w:rPr>
        <w:t>3、采购标的对应的中小企业划分标准所属行业：</w:t>
      </w:r>
      <w:r>
        <w:rPr>
          <w:rFonts w:hint="eastAsia" w:ascii="仿宋" w:hAnsi="仿宋" w:eastAsia="仿宋" w:cs="仿宋"/>
          <w:color w:val="auto"/>
          <w:u w:val="none"/>
          <w:lang w:val="en-US" w:eastAsia="zh-CN"/>
        </w:rPr>
        <w:t>软件和信息技术服务业</w:t>
      </w:r>
      <w:r>
        <w:rPr>
          <w:rFonts w:hint="eastAsia" w:ascii="仿宋" w:hAnsi="仿宋" w:eastAsia="仿宋" w:cs="仿宋"/>
          <w:color w:val="auto"/>
          <w:u w:val="single"/>
        </w:rPr>
        <w:t xml:space="preserve"> </w:t>
      </w:r>
    </w:p>
    <w:p w14:paraId="3286B52D">
      <w:pPr>
        <w:spacing w:line="560" w:lineRule="exact"/>
        <w:ind w:firstLine="640" w:firstLineChars="200"/>
        <w:jc w:val="left"/>
        <w:outlineLvl w:val="1"/>
        <w:rPr>
          <w:rFonts w:ascii="仿宋" w:hAnsi="仿宋" w:eastAsia="仿宋" w:cs="仿宋"/>
          <w:color w:val="auto"/>
        </w:rPr>
      </w:pPr>
      <w:r>
        <w:rPr>
          <w:rFonts w:hint="eastAsia" w:ascii="仿宋" w:hAnsi="仿宋" w:eastAsia="仿宋" w:cs="仿宋"/>
          <w:color w:val="auto"/>
        </w:rPr>
        <w:t>（六）采购方式</w:t>
      </w:r>
    </w:p>
    <w:p w14:paraId="1EF8A115">
      <w:pPr>
        <w:spacing w:line="560" w:lineRule="exact"/>
        <w:ind w:firstLine="640" w:firstLineChars="200"/>
        <w:jc w:val="left"/>
        <w:outlineLvl w:val="2"/>
        <w:rPr>
          <w:rFonts w:ascii="仿宋" w:hAnsi="仿宋" w:eastAsia="仿宋" w:cs="仿宋"/>
          <w:color w:val="auto"/>
        </w:rPr>
      </w:pPr>
      <w:r>
        <w:rPr>
          <w:rFonts w:hint="eastAsia" w:ascii="仿宋" w:hAnsi="仿宋" w:eastAsia="仿宋" w:cs="仿宋"/>
          <w:color w:val="auto"/>
        </w:rPr>
        <w:t>（1）采购方式</w:t>
      </w:r>
    </w:p>
    <w:p w14:paraId="5A20374A">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rPr>
        <w:t>公开招标</w:t>
      </w:r>
    </w:p>
    <w:p w14:paraId="21269FB1">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rPr>
        <w:t>□邀请招标</w:t>
      </w:r>
    </w:p>
    <w:p w14:paraId="041E34C5">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rPr>
        <w:t>□竞争性谈判</w:t>
      </w:r>
    </w:p>
    <w:p w14:paraId="28D125F9">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rPr>
        <w:t>□竞争性磋商</w:t>
      </w:r>
    </w:p>
    <w:p w14:paraId="03058C7C">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rPr>
        <w:t>□询价</w:t>
      </w:r>
    </w:p>
    <w:p w14:paraId="21CF2CCD">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rPr>
        <w:t>□单一来源采购</w:t>
      </w:r>
    </w:p>
    <w:p w14:paraId="3EA49F80">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rPr>
        <w:t>□其他采购方式：</w:t>
      </w:r>
      <w:r>
        <w:rPr>
          <w:rFonts w:hint="eastAsia" w:ascii="仿宋" w:hAnsi="仿宋" w:eastAsia="仿宋" w:cs="仿宋"/>
          <w:color w:val="auto"/>
          <w:u w:val="single"/>
        </w:rPr>
        <w:t xml:space="preserve">                            </w:t>
      </w:r>
    </w:p>
    <w:p w14:paraId="6A40390A">
      <w:pPr>
        <w:spacing w:line="560" w:lineRule="exact"/>
        <w:ind w:firstLine="640" w:firstLineChars="200"/>
        <w:jc w:val="left"/>
        <w:rPr>
          <w:rFonts w:ascii="仿宋" w:hAnsi="仿宋" w:eastAsia="仿宋" w:cs="仿宋"/>
          <w:color w:val="auto"/>
          <w:u w:val="single"/>
        </w:rPr>
      </w:pPr>
      <w:r>
        <w:rPr>
          <w:rFonts w:hint="eastAsia" w:ascii="仿宋" w:hAnsi="仿宋" w:eastAsia="仿宋" w:cs="仿宋"/>
          <w:color w:val="auto"/>
        </w:rPr>
        <w:t>选择采购方式的理由：</w:t>
      </w:r>
      <w:r>
        <w:rPr>
          <w:rFonts w:hint="eastAsia" w:ascii="仿宋" w:hAnsi="仿宋" w:eastAsia="仿宋" w:cs="仿宋"/>
          <w:color w:val="auto"/>
          <w:u w:val="single"/>
        </w:rPr>
        <w:t xml:space="preserve"> </w:t>
      </w:r>
      <w:r>
        <w:rPr>
          <w:rFonts w:hint="eastAsia" w:ascii="仿宋" w:hAnsi="仿宋" w:eastAsia="仿宋"/>
          <w:u w:val="single"/>
        </w:rPr>
        <w:t>达到公开招标的数额</w:t>
      </w:r>
      <w:r>
        <w:rPr>
          <w:rFonts w:hint="eastAsia" w:ascii="仿宋" w:hAnsi="仿宋" w:eastAsia="仿宋" w:cs="仿宋"/>
          <w:color w:val="auto"/>
          <w:u w:val="single"/>
        </w:rPr>
        <w:t xml:space="preserve">     </w:t>
      </w:r>
    </w:p>
    <w:p w14:paraId="528D40AF">
      <w:pPr>
        <w:spacing w:line="560" w:lineRule="exact"/>
        <w:ind w:firstLine="640" w:firstLineChars="200"/>
        <w:jc w:val="left"/>
        <w:outlineLvl w:val="2"/>
        <w:rPr>
          <w:rFonts w:ascii="仿宋" w:hAnsi="仿宋" w:eastAsia="仿宋" w:cs="仿宋"/>
          <w:color w:val="auto"/>
        </w:rPr>
      </w:pPr>
      <w:r>
        <w:rPr>
          <w:rFonts w:hint="eastAsia" w:ascii="仿宋" w:hAnsi="仿宋" w:eastAsia="仿宋" w:cs="仿宋"/>
          <w:color w:val="auto"/>
        </w:rPr>
        <w:t>（2）采购方式是否需要财政部门批准：</w:t>
      </w:r>
    </w:p>
    <w:p w14:paraId="6C655462">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rPr>
        <w:t>不需要</w:t>
      </w:r>
    </w:p>
    <w:p w14:paraId="71C682F9">
      <w:pPr>
        <w:spacing w:line="560" w:lineRule="exact"/>
        <w:ind w:firstLine="640" w:firstLineChars="200"/>
        <w:jc w:val="left"/>
        <w:rPr>
          <w:rFonts w:ascii="仿宋" w:hAnsi="仿宋" w:eastAsia="仿宋" w:cs="仿宋"/>
          <w:color w:val="auto"/>
          <w:u w:val="single"/>
        </w:rPr>
      </w:pPr>
      <w:r>
        <w:rPr>
          <w:rFonts w:hint="eastAsia" w:ascii="仿宋" w:hAnsi="仿宋" w:eastAsia="仿宋" w:cs="仿宋"/>
          <w:color w:val="auto"/>
        </w:rPr>
        <w:t>□需要，报批安排：</w:t>
      </w:r>
      <w:r>
        <w:rPr>
          <w:rFonts w:hint="eastAsia" w:ascii="仿宋" w:hAnsi="仿宋" w:eastAsia="仿宋" w:cs="仿宋"/>
          <w:color w:val="auto"/>
          <w:u w:val="single"/>
        </w:rPr>
        <w:t xml:space="preserve">                           </w:t>
      </w:r>
    </w:p>
    <w:p w14:paraId="66ADB43A">
      <w:pPr>
        <w:spacing w:line="560" w:lineRule="exact"/>
        <w:ind w:firstLine="640" w:firstLineChars="200"/>
        <w:jc w:val="left"/>
        <w:outlineLvl w:val="1"/>
        <w:rPr>
          <w:rFonts w:ascii="仿宋" w:hAnsi="仿宋" w:eastAsia="仿宋" w:cs="仿宋"/>
          <w:color w:val="auto"/>
        </w:rPr>
      </w:pPr>
      <w:r>
        <w:rPr>
          <w:rFonts w:hint="eastAsia" w:ascii="仿宋" w:hAnsi="仿宋" w:eastAsia="仿宋" w:cs="仿宋"/>
          <w:color w:val="auto"/>
        </w:rPr>
        <w:t>（七）供应商资格条件</w:t>
      </w:r>
    </w:p>
    <w:p w14:paraId="7AEC9369">
      <w:pPr>
        <w:spacing w:line="560" w:lineRule="exact"/>
        <w:ind w:firstLine="640" w:firstLineChars="200"/>
        <w:jc w:val="left"/>
        <w:rPr>
          <w:rFonts w:hint="eastAsia" w:ascii="仿宋" w:hAnsi="仿宋" w:eastAsia="仿宋" w:cs="仿宋"/>
          <w:color w:val="auto"/>
          <w:u w:val="none"/>
        </w:rPr>
      </w:pPr>
      <w:r>
        <w:rPr>
          <w:rFonts w:hint="eastAsia" w:ascii="仿宋" w:hAnsi="仿宋" w:eastAsia="仿宋" w:cs="仿宋"/>
          <w:color w:val="auto"/>
          <w:u w:val="none"/>
          <w:lang w:val="en-US" w:eastAsia="zh-CN"/>
        </w:rPr>
        <w:t>1.</w:t>
      </w:r>
      <w:r>
        <w:rPr>
          <w:rFonts w:hint="eastAsia" w:ascii="仿宋" w:hAnsi="仿宋" w:eastAsia="仿宋" w:cs="仿宋"/>
          <w:color w:val="auto"/>
          <w:u w:val="none"/>
        </w:rPr>
        <w:t>投标人</w:t>
      </w:r>
      <w:r>
        <w:rPr>
          <w:rFonts w:hint="eastAsia" w:ascii="仿宋" w:hAnsi="仿宋" w:eastAsia="仿宋" w:cs="仿宋"/>
          <w:color w:val="auto"/>
          <w:u w:val="none"/>
          <w:lang w:eastAsia="zh-CN"/>
        </w:rPr>
        <w:t>必须是</w:t>
      </w:r>
      <w:r>
        <w:rPr>
          <w:rFonts w:hint="eastAsia" w:ascii="仿宋" w:hAnsi="仿宋" w:eastAsia="仿宋" w:cs="仿宋"/>
          <w:color w:val="auto"/>
          <w:u w:val="none"/>
        </w:rPr>
        <w:t>具有独立法人资格或为具有独立承担民事责任能力的其它组织（提供营业执照或事业单位法人证书或其他证明材料复印件加盖公章，原件备查）</w:t>
      </w:r>
      <w:r>
        <w:rPr>
          <w:rFonts w:hint="eastAsia" w:ascii="仿宋" w:hAnsi="仿宋" w:eastAsia="仿宋" w:cs="仿宋"/>
          <w:color w:val="auto"/>
          <w:u w:val="none"/>
          <w:lang w:eastAsia="zh-CN"/>
        </w:rPr>
        <w:t>；</w:t>
      </w:r>
    </w:p>
    <w:p w14:paraId="51B175B9">
      <w:pPr>
        <w:spacing w:line="560" w:lineRule="exact"/>
        <w:ind w:firstLine="640" w:firstLineChars="200"/>
        <w:jc w:val="left"/>
        <w:rPr>
          <w:rFonts w:hint="eastAsia" w:ascii="仿宋" w:hAnsi="仿宋" w:eastAsia="仿宋" w:cs="仿宋"/>
          <w:color w:val="auto"/>
          <w:u w:val="none"/>
        </w:rPr>
      </w:pPr>
      <w:r>
        <w:rPr>
          <w:rFonts w:hint="eastAsia" w:ascii="仿宋" w:hAnsi="仿宋" w:eastAsia="仿宋" w:cs="仿宋"/>
          <w:color w:val="auto"/>
          <w:u w:val="none"/>
          <w:lang w:val="en-US" w:eastAsia="zh-CN"/>
        </w:rPr>
        <w:t>2.参与本项目政府采购活动时不存在被有关部门禁止参与政府采购活动且在有效期内的情况（</w:t>
      </w:r>
      <w:r>
        <w:rPr>
          <w:rFonts w:hint="eastAsia" w:ascii="仿宋" w:hAnsi="仿宋" w:eastAsia="仿宋" w:cs="仿宋"/>
          <w:color w:val="auto"/>
          <w:u w:val="none"/>
        </w:rPr>
        <w:t>由供应商在《政府采购投标及履约承诺函》中作出声明，加盖公章</w:t>
      </w:r>
      <w:r>
        <w:rPr>
          <w:rFonts w:hint="eastAsia" w:ascii="仿宋" w:hAnsi="仿宋" w:eastAsia="仿宋" w:cs="仿宋"/>
          <w:color w:val="auto"/>
          <w:u w:val="none"/>
          <w:lang w:val="en-US" w:eastAsia="zh-CN"/>
        </w:rPr>
        <w:t>）；</w:t>
      </w:r>
    </w:p>
    <w:p w14:paraId="25E5397E">
      <w:pPr>
        <w:spacing w:line="560" w:lineRule="exact"/>
        <w:ind w:firstLine="640" w:firstLineChars="200"/>
        <w:jc w:val="left"/>
        <w:rPr>
          <w:rFonts w:hint="eastAsia" w:ascii="仿宋" w:hAnsi="仿宋" w:eastAsia="仿宋" w:cs="仿宋"/>
          <w:color w:val="auto"/>
          <w:u w:val="none"/>
        </w:rPr>
      </w:pPr>
      <w:r>
        <w:rPr>
          <w:rFonts w:hint="eastAsia" w:ascii="仿宋" w:hAnsi="仿宋" w:eastAsia="仿宋" w:cs="仿宋"/>
          <w:color w:val="auto"/>
          <w:u w:val="none"/>
          <w:lang w:val="en-US" w:eastAsia="zh-CN"/>
        </w:rPr>
        <w:t>3.具备《中华人民共和国政府采购法》第二十二条第一款的条件（</w:t>
      </w:r>
      <w:r>
        <w:rPr>
          <w:rFonts w:hint="eastAsia" w:ascii="仿宋" w:hAnsi="仿宋" w:eastAsia="仿宋" w:cs="仿宋"/>
          <w:color w:val="auto"/>
          <w:u w:val="none"/>
        </w:rPr>
        <w:t>由供应商在《政府采购投标及履约承诺函》中作出声明，加盖公章</w:t>
      </w:r>
      <w:r>
        <w:rPr>
          <w:rFonts w:hint="eastAsia" w:ascii="仿宋" w:hAnsi="仿宋" w:eastAsia="仿宋" w:cs="仿宋"/>
          <w:color w:val="auto"/>
          <w:u w:val="none"/>
          <w:lang w:val="en-US" w:eastAsia="zh-CN"/>
        </w:rPr>
        <w:t>）；</w:t>
      </w:r>
    </w:p>
    <w:p w14:paraId="438757AC">
      <w:pPr>
        <w:spacing w:line="560" w:lineRule="exact"/>
        <w:ind w:firstLine="640" w:firstLineChars="200"/>
        <w:jc w:val="left"/>
        <w:rPr>
          <w:rFonts w:hint="eastAsia" w:ascii="仿宋" w:hAnsi="仿宋" w:eastAsia="仿宋" w:cs="仿宋"/>
          <w:color w:val="auto"/>
          <w:u w:val="none"/>
        </w:rPr>
      </w:pPr>
      <w:r>
        <w:rPr>
          <w:rFonts w:hint="eastAsia" w:ascii="仿宋" w:hAnsi="仿宋" w:eastAsia="仿宋" w:cs="仿宋"/>
          <w:color w:val="auto"/>
          <w:u w:val="none"/>
          <w:lang w:val="en-US" w:eastAsia="zh-CN"/>
        </w:rPr>
        <w:t>4.</w:t>
      </w:r>
      <w:r>
        <w:rPr>
          <w:rFonts w:hint="eastAsia" w:ascii="仿宋" w:hAnsi="仿宋" w:eastAsia="仿宋" w:cs="仿宋"/>
          <w:color w:val="auto"/>
          <w:u w:val="none"/>
        </w:rPr>
        <w:t>未被列入失信被执行人、重大税收违法失信主体、政府采购严重违法失信行为记录名单（由供应商在《政府采购投标及履约承诺函》中作出声明，加盖公章）；【注：采购代理机构将通过“信用中国”中“信用服务”栏的“重大税收违法失信主体”“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02A42E2F">
      <w:pPr>
        <w:spacing w:line="560" w:lineRule="exact"/>
        <w:ind w:firstLine="640" w:firstLineChars="200"/>
        <w:jc w:val="left"/>
        <w:rPr>
          <w:rFonts w:hint="eastAsia" w:ascii="仿宋" w:hAnsi="仿宋" w:eastAsia="仿宋" w:cs="仿宋"/>
          <w:color w:val="auto"/>
          <w:u w:val="none"/>
          <w:lang w:eastAsia="zh-CN"/>
        </w:rPr>
      </w:pPr>
      <w:r>
        <w:rPr>
          <w:rFonts w:hint="eastAsia" w:ascii="仿宋" w:hAnsi="仿宋" w:eastAsia="仿宋" w:cs="仿宋"/>
          <w:color w:val="auto"/>
          <w:u w:val="none"/>
          <w:lang w:val="en-US" w:eastAsia="zh-CN"/>
        </w:rPr>
        <w:t>5.</w:t>
      </w:r>
      <w:r>
        <w:rPr>
          <w:rFonts w:hint="eastAsia" w:ascii="仿宋" w:hAnsi="仿宋" w:eastAsia="仿宋" w:cs="仿宋"/>
          <w:color w:val="auto"/>
          <w:u w:val="none"/>
          <w:lang w:eastAsia="zh-CN"/>
        </w:rPr>
        <w:t>单位法定代表人（负责人）为同一人或者存在直接控股、管理关系的不同供应商，不得同时参加本项目投标</w:t>
      </w:r>
      <w:r>
        <w:rPr>
          <w:rFonts w:hint="eastAsia" w:ascii="仿宋" w:hAnsi="仿宋" w:eastAsia="仿宋" w:cs="仿宋"/>
          <w:color w:val="auto"/>
          <w:u w:val="none"/>
        </w:rPr>
        <w:t>（由供应商在《政府采购投标及履约承诺函》中作出声明，加盖公章）</w:t>
      </w:r>
      <w:r>
        <w:rPr>
          <w:rFonts w:hint="eastAsia" w:ascii="仿宋" w:hAnsi="仿宋" w:eastAsia="仿宋" w:cs="仿宋"/>
          <w:color w:val="auto"/>
          <w:u w:val="none"/>
          <w:lang w:eastAsia="zh-CN"/>
        </w:rPr>
        <w:t>；</w:t>
      </w:r>
    </w:p>
    <w:p w14:paraId="6F35B118">
      <w:pPr>
        <w:spacing w:line="560" w:lineRule="exact"/>
        <w:ind w:firstLine="640" w:firstLineChars="200"/>
        <w:jc w:val="left"/>
        <w:rPr>
          <w:rFonts w:hint="eastAsia" w:ascii="仿宋" w:hAnsi="仿宋" w:eastAsia="仿宋" w:cs="仿宋"/>
          <w:color w:val="auto"/>
          <w:u w:val="none"/>
          <w:lang w:val="en-US" w:eastAsia="zh-CN"/>
        </w:rPr>
      </w:pPr>
      <w:r>
        <w:rPr>
          <w:rFonts w:hint="eastAsia" w:ascii="仿宋" w:hAnsi="仿宋" w:eastAsia="仿宋" w:cs="仿宋"/>
          <w:color w:val="auto"/>
          <w:u w:val="none"/>
          <w:lang w:val="en-US" w:eastAsia="zh-CN"/>
        </w:rPr>
        <w:t>6.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或管理）关系证明材料（格式与具体采购文件的章节对应）。如供应商存在未提供《供应商基本情况表》、社保缴纳证明材料及股权（或管理）关系证明材料或所提供证明材料不符合采购文件要求的情形，按资格审查不通过处理）</w:t>
      </w:r>
    </w:p>
    <w:p w14:paraId="3153281A">
      <w:pPr>
        <w:spacing w:line="560" w:lineRule="exact"/>
        <w:ind w:firstLine="640" w:firstLineChars="200"/>
        <w:jc w:val="left"/>
        <w:rPr>
          <w:rFonts w:hint="eastAsia" w:ascii="仿宋" w:hAnsi="仿宋" w:eastAsia="仿宋" w:cs="仿宋"/>
          <w:color w:val="auto"/>
          <w:u w:val="none"/>
          <w:lang w:eastAsia="zh-CN"/>
        </w:rPr>
      </w:pPr>
      <w:r>
        <w:rPr>
          <w:rFonts w:hint="eastAsia" w:ascii="仿宋" w:hAnsi="仿宋" w:eastAsia="仿宋" w:cs="仿宋"/>
          <w:color w:val="auto"/>
          <w:u w:val="none"/>
          <w:lang w:val="en-US" w:eastAsia="zh-CN"/>
        </w:rPr>
        <w:t>7.</w:t>
      </w:r>
      <w:r>
        <w:rPr>
          <w:rFonts w:hint="eastAsia" w:ascii="仿宋" w:hAnsi="仿宋" w:eastAsia="仿宋" w:cs="仿宋"/>
          <w:color w:val="auto"/>
          <w:u w:val="none"/>
          <w:lang w:eastAsia="zh-CN"/>
        </w:rPr>
        <w:t>本项目不接受联合体投标，不接受投标人选用进口产品参与投标，不允许转包（由供应商在《政府采购投标及履约承诺函》中作出声明，加盖公章）。</w:t>
      </w:r>
    </w:p>
    <w:p w14:paraId="3321AC8A">
      <w:pPr>
        <w:spacing w:line="560" w:lineRule="exact"/>
        <w:ind w:firstLine="640" w:firstLineChars="200"/>
        <w:jc w:val="left"/>
        <w:rPr>
          <w:rFonts w:hint="eastAsia" w:ascii="仿宋" w:hAnsi="仿宋" w:eastAsia="仿宋" w:cs="仿宋"/>
          <w:color w:val="auto"/>
          <w:u w:val="none"/>
          <w:lang w:val="en-US" w:eastAsia="zh-CN"/>
        </w:rPr>
      </w:pPr>
      <w:r>
        <w:rPr>
          <w:rFonts w:hint="eastAsia" w:ascii="仿宋" w:hAnsi="仿宋" w:eastAsia="仿宋" w:cs="仿宋"/>
          <w:color w:val="auto"/>
          <w:u w:val="none"/>
          <w:lang w:val="en-US" w:eastAsia="zh-CN"/>
        </w:rPr>
        <w:t>8.本项目是（否）专门面向中小企业采购：是，本项目属于专门面向中小微企业采购的项目（提供符合要求的《中小企业声明函》，投标供应商必须属于中型企业或小型企业或微型企业；如供应商为残疾人福利性单位或监狱企业，视同小型、微型企业，提供《残疾人福利性单位声明函》或《监狱企业声明函》及监狱企业证明文件亦视为符合。</w:t>
      </w:r>
    </w:p>
    <w:p w14:paraId="595F68B3">
      <w:pPr>
        <w:spacing w:line="560" w:lineRule="exact"/>
        <w:ind w:firstLine="640" w:firstLineChars="200"/>
        <w:jc w:val="left"/>
        <w:outlineLvl w:val="2"/>
        <w:rPr>
          <w:rFonts w:hint="default" w:ascii="仿宋" w:hAnsi="仿宋" w:eastAsia="仿宋" w:cs="仿宋"/>
          <w:color w:val="auto"/>
          <w:u w:val="none"/>
          <w:lang w:val="en-US" w:eastAsia="zh-CN"/>
        </w:rPr>
      </w:pPr>
      <w:r>
        <w:rPr>
          <w:rFonts w:hint="eastAsia" w:ascii="仿宋" w:hAnsi="仿宋" w:eastAsia="仿宋" w:cs="仿宋"/>
          <w:color w:val="auto"/>
          <w:u w:val="none"/>
          <w:lang w:val="en-US" w:eastAsia="zh-CN"/>
        </w:rPr>
        <w:t>中小企业划分标准所属行业：软件和信息技术服务业</w:t>
      </w:r>
    </w:p>
    <w:p w14:paraId="7665011C">
      <w:pPr>
        <w:spacing w:line="560" w:lineRule="exact"/>
        <w:ind w:firstLine="640" w:firstLineChars="200"/>
        <w:jc w:val="left"/>
        <w:outlineLvl w:val="1"/>
        <w:rPr>
          <w:rFonts w:ascii="仿宋" w:hAnsi="仿宋" w:eastAsia="仿宋" w:cs="仿宋"/>
          <w:color w:val="auto"/>
        </w:rPr>
      </w:pPr>
      <w:r>
        <w:rPr>
          <w:rFonts w:hint="eastAsia" w:ascii="仿宋" w:hAnsi="仿宋" w:eastAsia="仿宋" w:cs="仿宋"/>
          <w:color w:val="auto"/>
        </w:rPr>
        <w:t>（八）竞争范围</w:t>
      </w:r>
    </w:p>
    <w:p w14:paraId="0EBAB124">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rPr>
        <w:t>公开方式</w:t>
      </w:r>
    </w:p>
    <w:p w14:paraId="2E91DDC7">
      <w:pPr>
        <w:spacing w:line="560" w:lineRule="exact"/>
        <w:ind w:firstLine="640" w:firstLineChars="200"/>
        <w:jc w:val="left"/>
        <w:rPr>
          <w:rFonts w:ascii="仿宋" w:hAnsi="仿宋" w:eastAsia="仿宋" w:cs="仿宋"/>
          <w:color w:val="auto"/>
          <w:u w:val="single"/>
        </w:rPr>
      </w:pPr>
      <w:r>
        <w:rPr>
          <w:rFonts w:hint="eastAsia" w:ascii="仿宋" w:hAnsi="仿宋" w:eastAsia="仿宋" w:cs="仿宋"/>
          <w:color w:val="auto"/>
        </w:rPr>
        <w:t>□邀请方式，依据：</w:t>
      </w:r>
      <w:r>
        <w:rPr>
          <w:rFonts w:hint="eastAsia" w:ascii="仿宋" w:hAnsi="仿宋" w:eastAsia="仿宋" w:cs="仿宋"/>
          <w:color w:val="auto"/>
          <w:u w:val="single"/>
        </w:rPr>
        <w:t xml:space="preserve">                               </w:t>
      </w:r>
    </w:p>
    <w:p w14:paraId="2980AAE6">
      <w:pPr>
        <w:spacing w:line="560" w:lineRule="exact"/>
        <w:ind w:firstLine="640" w:firstLineChars="200"/>
        <w:jc w:val="left"/>
        <w:outlineLvl w:val="1"/>
        <w:rPr>
          <w:rFonts w:ascii="仿宋" w:hAnsi="仿宋" w:eastAsia="仿宋" w:cs="仿宋"/>
          <w:color w:val="auto"/>
        </w:rPr>
      </w:pPr>
      <w:r>
        <w:rPr>
          <w:rFonts w:hint="eastAsia" w:ascii="仿宋" w:hAnsi="仿宋" w:eastAsia="仿宋" w:cs="仿宋"/>
          <w:color w:val="auto"/>
        </w:rPr>
        <w:t>（九）评审规则</w:t>
      </w:r>
    </w:p>
    <w:p w14:paraId="2B18277B">
      <w:pPr>
        <w:spacing w:line="560" w:lineRule="exact"/>
        <w:ind w:firstLine="640" w:firstLineChars="200"/>
        <w:jc w:val="left"/>
        <w:rPr>
          <w:rFonts w:ascii="仿宋" w:hAnsi="仿宋" w:eastAsia="仿宋" w:cs="仿宋"/>
          <w:color w:val="auto"/>
          <w:u w:val="single"/>
        </w:rPr>
      </w:pPr>
      <w:r>
        <w:rPr>
          <w:rFonts w:hint="eastAsia" w:ascii="仿宋" w:hAnsi="仿宋" w:eastAsia="仿宋" w:cs="仿宋"/>
          <w:color w:val="auto"/>
        </w:rPr>
        <w:t>□最低评标价法，选择该评审规则的理由：</w:t>
      </w:r>
      <w:r>
        <w:rPr>
          <w:rFonts w:hint="eastAsia" w:ascii="仿宋" w:hAnsi="仿宋" w:eastAsia="仿宋" w:cs="仿宋"/>
          <w:color w:val="auto"/>
          <w:u w:val="single"/>
        </w:rPr>
        <w:t xml:space="preserve">          </w:t>
      </w:r>
    </w:p>
    <w:p w14:paraId="7B2FBAA2">
      <w:pPr>
        <w:spacing w:line="560" w:lineRule="exact"/>
        <w:ind w:firstLine="640" w:firstLineChars="200"/>
        <w:jc w:val="left"/>
        <w:rPr>
          <w:rFonts w:hint="eastAsia" w:ascii="仿宋" w:hAnsi="仿宋" w:eastAsia="仿宋" w:cs="仿宋"/>
          <w:color w:val="auto"/>
          <w:u w:val="single"/>
        </w:rPr>
      </w:pPr>
      <w:r>
        <w:rPr>
          <w:rFonts w:hint="eastAsia" w:ascii="仿宋" w:hAnsi="仿宋" w:eastAsia="仿宋" w:cs="仿宋"/>
          <w:color w:val="auto"/>
          <w:lang w:eastAsia="zh-CN"/>
        </w:rPr>
        <w:t>☑</w:t>
      </w:r>
      <w:r>
        <w:rPr>
          <w:rFonts w:hint="eastAsia" w:ascii="仿宋" w:hAnsi="仿宋" w:eastAsia="仿宋" w:cs="仿宋"/>
          <w:color w:val="auto"/>
        </w:rPr>
        <w:t>综合评分法，选择该评审规则的理由：</w:t>
      </w:r>
      <w:r>
        <w:rPr>
          <w:rFonts w:hint="eastAsia" w:ascii="仿宋_GB2312" w:hAnsi="仿宋_GB2312" w:eastAsia="仿宋_GB2312" w:cs="仿宋_GB2312"/>
          <w:u w:val="single"/>
        </w:rPr>
        <w:t>评标结果更具科学性，有效防止低价的不正当竞争。</w:t>
      </w:r>
    </w:p>
    <w:p w14:paraId="0D93D640">
      <w:pPr>
        <w:spacing w:line="560" w:lineRule="exact"/>
        <w:ind w:firstLine="0" w:firstLineChars="0"/>
        <w:jc w:val="left"/>
        <w:rPr>
          <w:rFonts w:hint="eastAsia" w:ascii="仿宋" w:hAnsi="仿宋" w:eastAsia="仿宋" w:cs="仿宋"/>
          <w:color w:val="auto"/>
          <w:u w:val="single"/>
        </w:rPr>
      </w:pPr>
    </w:p>
    <w:tbl>
      <w:tblPr>
        <w:tblStyle w:val="18"/>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1"/>
        <w:gridCol w:w="681"/>
        <w:gridCol w:w="1613"/>
        <w:gridCol w:w="736"/>
        <w:gridCol w:w="5367"/>
      </w:tblGrid>
      <w:tr w14:paraId="201661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13C9256A">
            <w:pPr>
              <w:widowControl/>
              <w:wordWrap w:val="0"/>
              <w:spacing w:line="300" w:lineRule="auto"/>
              <w:jc w:val="center"/>
              <w:rPr>
                <w:rFonts w:eastAsia="宋体"/>
                <w:b/>
                <w:bCs/>
                <w:color w:val="auto"/>
                <w:sz w:val="24"/>
                <w:szCs w:val="18"/>
                <w:highlight w:val="none"/>
              </w:rPr>
            </w:pPr>
            <w:r>
              <w:rPr>
                <w:rFonts w:ascii="宋体" w:hAnsi="宋体" w:eastAsia="宋体" w:cs="宋体"/>
                <w:b/>
                <w:bCs/>
                <w:color w:val="auto"/>
                <w:kern w:val="0"/>
                <w:sz w:val="24"/>
                <w:szCs w:val="18"/>
                <w:highlight w:val="none"/>
                <w:lang w:bidi="ar"/>
              </w:rPr>
              <w:t>序号</w:t>
            </w:r>
          </w:p>
        </w:tc>
        <w:tc>
          <w:tcPr>
            <w:tcW w:w="3030" w:type="dxa"/>
            <w:gridSpan w:val="3"/>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0EE84810">
            <w:pPr>
              <w:widowControl/>
              <w:wordWrap w:val="0"/>
              <w:spacing w:line="300" w:lineRule="auto"/>
              <w:jc w:val="center"/>
              <w:rPr>
                <w:rFonts w:eastAsia="宋体"/>
                <w:b/>
                <w:bCs/>
                <w:color w:val="auto"/>
                <w:sz w:val="24"/>
                <w:szCs w:val="18"/>
                <w:highlight w:val="none"/>
              </w:rPr>
            </w:pPr>
            <w:r>
              <w:rPr>
                <w:rFonts w:ascii="宋体" w:hAnsi="宋体" w:eastAsia="宋体" w:cs="宋体"/>
                <w:b/>
                <w:bCs/>
                <w:color w:val="auto"/>
                <w:kern w:val="0"/>
                <w:sz w:val="24"/>
                <w:szCs w:val="18"/>
                <w:highlight w:val="none"/>
                <w:lang w:bidi="ar"/>
              </w:rPr>
              <w:t>评分项</w:t>
            </w:r>
          </w:p>
        </w:tc>
        <w:tc>
          <w:tcPr>
            <w:tcW w:w="5367"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3C5D06B2">
            <w:pPr>
              <w:widowControl/>
              <w:wordWrap w:val="0"/>
              <w:spacing w:line="300" w:lineRule="auto"/>
              <w:jc w:val="center"/>
              <w:rPr>
                <w:rFonts w:hint="eastAsia" w:eastAsia="宋体"/>
                <w:b/>
                <w:bCs/>
                <w:color w:val="auto"/>
                <w:sz w:val="24"/>
                <w:szCs w:val="18"/>
                <w:highlight w:val="none"/>
                <w:lang w:eastAsia="zh-CN"/>
              </w:rPr>
            </w:pPr>
            <w:r>
              <w:rPr>
                <w:rFonts w:hint="eastAsia" w:ascii="宋体" w:hAnsi="宋体" w:eastAsia="宋体" w:cs="宋体"/>
                <w:b/>
                <w:bCs/>
                <w:color w:val="auto"/>
                <w:kern w:val="0"/>
                <w:sz w:val="24"/>
                <w:szCs w:val="18"/>
                <w:highlight w:val="none"/>
                <w:lang w:val="en-US" w:eastAsia="zh-CN" w:bidi="ar"/>
              </w:rPr>
              <w:t>分值</w:t>
            </w:r>
          </w:p>
        </w:tc>
      </w:tr>
      <w:tr w14:paraId="64F649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restart"/>
            <w:tcBorders>
              <w:top w:val="single" w:color="000000" w:sz="8" w:space="0"/>
              <w:left w:val="single" w:color="000000" w:sz="8" w:space="0"/>
              <w:bottom w:val="single" w:color="000000" w:sz="8" w:space="0"/>
              <w:right w:val="single" w:color="000000" w:sz="8" w:space="0"/>
            </w:tcBorders>
            <w:noWrap w:val="0"/>
            <w:vAlign w:val="center"/>
          </w:tcPr>
          <w:p w14:paraId="1DD49AAD">
            <w:pPr>
              <w:widowControl/>
              <w:wordWrap w:val="0"/>
              <w:spacing w:line="300" w:lineRule="auto"/>
              <w:jc w:val="center"/>
              <w:rPr>
                <w:rFonts w:eastAsia="宋体"/>
                <w:b/>
                <w:bCs/>
                <w:color w:val="auto"/>
                <w:sz w:val="24"/>
                <w:szCs w:val="18"/>
                <w:highlight w:val="none"/>
              </w:rPr>
            </w:pPr>
            <w:r>
              <w:rPr>
                <w:rFonts w:ascii="宋体" w:hAnsi="宋体" w:eastAsia="宋体" w:cs="宋体"/>
                <w:b/>
                <w:bCs/>
                <w:color w:val="auto"/>
                <w:kern w:val="0"/>
                <w:sz w:val="24"/>
                <w:szCs w:val="18"/>
                <w:highlight w:val="none"/>
                <w:lang w:bidi="ar"/>
              </w:rPr>
              <w:t>1</w:t>
            </w:r>
          </w:p>
        </w:tc>
        <w:tc>
          <w:tcPr>
            <w:tcW w:w="3030" w:type="dxa"/>
            <w:gridSpan w:val="3"/>
            <w:tcBorders>
              <w:top w:val="single" w:color="000000" w:sz="8" w:space="0"/>
              <w:left w:val="single" w:color="000000" w:sz="8" w:space="0"/>
              <w:bottom w:val="single" w:color="000000" w:sz="8" w:space="0"/>
              <w:right w:val="single" w:color="000000" w:sz="8" w:space="0"/>
            </w:tcBorders>
            <w:noWrap w:val="0"/>
            <w:vAlign w:val="center"/>
          </w:tcPr>
          <w:p w14:paraId="388AB8C7">
            <w:pPr>
              <w:widowControl/>
              <w:wordWrap w:val="0"/>
              <w:spacing w:line="300" w:lineRule="auto"/>
              <w:jc w:val="center"/>
              <w:rPr>
                <w:rFonts w:eastAsia="宋体"/>
                <w:b/>
                <w:bCs/>
                <w:color w:val="auto"/>
                <w:sz w:val="24"/>
                <w:szCs w:val="18"/>
                <w:highlight w:val="none"/>
              </w:rPr>
            </w:pPr>
            <w:r>
              <w:rPr>
                <w:rFonts w:ascii="宋体" w:hAnsi="宋体" w:eastAsia="宋体" w:cs="宋体"/>
                <w:b/>
                <w:bCs/>
                <w:color w:val="auto"/>
                <w:kern w:val="0"/>
                <w:sz w:val="24"/>
                <w:szCs w:val="18"/>
                <w:highlight w:val="none"/>
                <w:lang w:bidi="ar"/>
              </w:rPr>
              <w:t>价格</w:t>
            </w:r>
          </w:p>
        </w:tc>
        <w:tc>
          <w:tcPr>
            <w:tcW w:w="5367" w:type="dxa"/>
            <w:tcBorders>
              <w:top w:val="single" w:color="000000" w:sz="8" w:space="0"/>
              <w:left w:val="single" w:color="000000" w:sz="8" w:space="0"/>
              <w:bottom w:val="single" w:color="000000" w:sz="8" w:space="0"/>
              <w:right w:val="single" w:color="000000" w:sz="8" w:space="0"/>
            </w:tcBorders>
            <w:noWrap w:val="0"/>
            <w:vAlign w:val="center"/>
          </w:tcPr>
          <w:p w14:paraId="1D4CDCB9">
            <w:pPr>
              <w:widowControl/>
              <w:wordWrap w:val="0"/>
              <w:spacing w:line="300" w:lineRule="auto"/>
              <w:jc w:val="center"/>
              <w:rPr>
                <w:rFonts w:hint="default" w:eastAsia="宋体"/>
                <w:b/>
                <w:bCs/>
                <w:color w:val="auto"/>
                <w:sz w:val="24"/>
                <w:szCs w:val="18"/>
                <w:highlight w:val="none"/>
                <w:lang w:val="en-US" w:eastAsia="zh-CN"/>
              </w:rPr>
            </w:pPr>
            <w:r>
              <w:rPr>
                <w:rFonts w:hint="eastAsia" w:ascii="宋体" w:hAnsi="宋体" w:eastAsia="宋体" w:cs="宋体"/>
                <w:b/>
                <w:bCs/>
                <w:color w:val="auto"/>
                <w:kern w:val="0"/>
                <w:sz w:val="24"/>
                <w:szCs w:val="18"/>
                <w:highlight w:val="none"/>
                <w:lang w:val="en-US" w:eastAsia="zh-CN" w:bidi="ar"/>
              </w:rPr>
              <w:t>10</w:t>
            </w:r>
          </w:p>
        </w:tc>
      </w:tr>
      <w:tr w14:paraId="7F543A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noWrap w:val="0"/>
            <w:vAlign w:val="center"/>
          </w:tcPr>
          <w:p w14:paraId="1EEE29E8">
            <w:pPr>
              <w:spacing w:line="300" w:lineRule="auto"/>
              <w:jc w:val="center"/>
              <w:rPr>
                <w:rFonts w:ascii="宋体" w:eastAsia="宋体"/>
                <w:b/>
                <w:bCs/>
                <w:color w:val="auto"/>
                <w:sz w:val="24"/>
                <w:szCs w:val="18"/>
                <w:highlight w:val="none"/>
              </w:rPr>
            </w:pPr>
          </w:p>
        </w:tc>
        <w:tc>
          <w:tcPr>
            <w:tcW w:w="8397" w:type="dxa"/>
            <w:gridSpan w:val="4"/>
            <w:tcBorders>
              <w:top w:val="single" w:color="000000" w:sz="8" w:space="0"/>
              <w:left w:val="single" w:color="000000" w:sz="8" w:space="0"/>
              <w:bottom w:val="single" w:color="000000" w:sz="8" w:space="0"/>
              <w:right w:val="single" w:color="000000" w:sz="8" w:space="0"/>
            </w:tcBorders>
            <w:noWrap w:val="0"/>
            <w:vAlign w:val="center"/>
          </w:tcPr>
          <w:p w14:paraId="5515E038">
            <w:pPr>
              <w:pStyle w:val="15"/>
              <w:snapToGrid w:val="0"/>
              <w:spacing w:before="0" w:beforeAutospacing="0" w:afterAutospacing="0" w:line="300" w:lineRule="auto"/>
              <w:ind w:firstLine="420"/>
              <w:rPr>
                <w:rFonts w:ascii="宋体" w:hAnsi="宋体" w:eastAsia="宋体"/>
                <w:color w:val="auto"/>
                <w:sz w:val="24"/>
                <w:szCs w:val="18"/>
                <w:highlight w:val="none"/>
              </w:rPr>
            </w:pPr>
            <w:r>
              <w:rPr>
                <w:rFonts w:ascii="宋体" w:hAnsi="宋体" w:eastAsia="宋体"/>
                <w:color w:val="auto"/>
                <w:sz w:val="24"/>
                <w:szCs w:val="18"/>
                <w:highlight w:val="none"/>
              </w:rPr>
              <w:t xml:space="preserve">综合评分法，是指投标文件满足招标文件全部实质性要求，且按照评审因素的量化指标评审得分最高的投标人为中标候选人的评标方法。 </w:t>
            </w:r>
          </w:p>
          <w:p w14:paraId="44F5ADF2">
            <w:pPr>
              <w:pStyle w:val="15"/>
              <w:snapToGrid w:val="0"/>
              <w:spacing w:before="0" w:beforeAutospacing="0" w:afterAutospacing="0" w:line="300" w:lineRule="auto"/>
              <w:ind w:firstLine="420"/>
              <w:rPr>
                <w:rFonts w:ascii="宋体" w:hAnsi="宋体" w:eastAsia="宋体"/>
                <w:color w:val="auto"/>
                <w:sz w:val="24"/>
                <w:szCs w:val="18"/>
                <w:highlight w:val="none"/>
              </w:rPr>
            </w:pPr>
            <w:r>
              <w:rPr>
                <w:rFonts w:ascii="宋体" w:hAnsi="宋体" w:eastAsia="宋体"/>
                <w:color w:val="auto"/>
                <w:sz w:val="24"/>
                <w:szCs w:val="18"/>
                <w:highlight w:val="none"/>
              </w:rPr>
              <w:t>价格分计算方法：</w:t>
            </w:r>
          </w:p>
          <w:p w14:paraId="10122F27">
            <w:pPr>
              <w:snapToGrid w:val="0"/>
              <w:spacing w:line="300" w:lineRule="auto"/>
              <w:rPr>
                <w:rFonts w:ascii="宋体" w:hAnsi="宋体" w:eastAsia="宋体"/>
                <w:color w:val="auto"/>
                <w:sz w:val="24"/>
                <w:szCs w:val="18"/>
                <w:highlight w:val="none"/>
              </w:rPr>
            </w:pPr>
            <w:r>
              <w:rPr>
                <w:rFonts w:ascii="宋体" w:hAnsi="宋体" w:eastAsia="宋体"/>
                <w:color w:val="auto"/>
                <w:sz w:val="24"/>
                <w:szCs w:val="18"/>
                <w:highlight w:val="none"/>
              </w:rPr>
              <w:t>采用低价优先法计算，即满足招标文件要求且投标价格最低的投标报价为评标基准价，其价格分为满分。其他投标人的价格分统一按照下列公式计算：</w:t>
            </w:r>
          </w:p>
          <w:p w14:paraId="66E64483">
            <w:pPr>
              <w:snapToGrid w:val="0"/>
              <w:spacing w:line="300" w:lineRule="auto"/>
              <w:rPr>
                <w:rFonts w:ascii="宋体" w:hAnsi="宋体" w:eastAsia="宋体"/>
                <w:color w:val="auto"/>
                <w:sz w:val="24"/>
                <w:szCs w:val="18"/>
                <w:highlight w:val="none"/>
              </w:rPr>
            </w:pPr>
            <w:r>
              <w:rPr>
                <w:rFonts w:ascii="宋体" w:hAnsi="宋体" w:eastAsia="宋体"/>
                <w:color w:val="auto"/>
                <w:sz w:val="24"/>
                <w:szCs w:val="18"/>
                <w:highlight w:val="none"/>
              </w:rPr>
              <w:t xml:space="preserve">投标报价得分=(评标基准价／投标报价)×100 </w:t>
            </w:r>
          </w:p>
          <w:p w14:paraId="4802160D">
            <w:pPr>
              <w:snapToGrid w:val="0"/>
              <w:spacing w:line="300" w:lineRule="auto"/>
              <w:rPr>
                <w:rFonts w:ascii="宋体" w:hAnsi="宋体" w:eastAsia="宋体"/>
                <w:color w:val="auto"/>
                <w:sz w:val="24"/>
                <w:szCs w:val="18"/>
                <w:highlight w:val="none"/>
              </w:rPr>
            </w:pPr>
            <w:r>
              <w:rPr>
                <w:rFonts w:ascii="宋体" w:hAnsi="宋体" w:eastAsia="宋体"/>
                <w:color w:val="auto"/>
                <w:sz w:val="24"/>
                <w:szCs w:val="18"/>
                <w:highlight w:val="none"/>
              </w:rPr>
              <w:t>评标总得分＝F1×A1＋F2×A2＋……＋Fn×An</w:t>
            </w:r>
          </w:p>
          <w:p w14:paraId="4208B228">
            <w:pPr>
              <w:snapToGrid w:val="0"/>
              <w:spacing w:line="300" w:lineRule="auto"/>
              <w:rPr>
                <w:rFonts w:ascii="宋体" w:hAnsi="宋体" w:eastAsia="宋体"/>
                <w:color w:val="auto"/>
                <w:sz w:val="24"/>
                <w:szCs w:val="18"/>
                <w:highlight w:val="none"/>
              </w:rPr>
            </w:pPr>
            <w:r>
              <w:rPr>
                <w:rFonts w:ascii="宋体" w:hAnsi="宋体" w:eastAsia="宋体"/>
                <w:color w:val="auto"/>
                <w:sz w:val="24"/>
                <w:szCs w:val="18"/>
                <w:highlight w:val="none"/>
              </w:rPr>
              <w:t>F1、F2……Fn分别为各项评审因素的得分；</w:t>
            </w:r>
          </w:p>
          <w:p w14:paraId="7190BD57">
            <w:pPr>
              <w:snapToGrid w:val="0"/>
              <w:spacing w:line="300" w:lineRule="auto"/>
              <w:rPr>
                <w:rFonts w:ascii="宋体" w:hAnsi="宋体" w:eastAsia="宋体"/>
                <w:color w:val="auto"/>
                <w:sz w:val="24"/>
                <w:szCs w:val="18"/>
                <w:highlight w:val="none"/>
              </w:rPr>
            </w:pPr>
            <w:r>
              <w:rPr>
                <w:rFonts w:ascii="宋体" w:hAnsi="宋体" w:eastAsia="宋体"/>
                <w:color w:val="auto"/>
                <w:sz w:val="24"/>
                <w:szCs w:val="18"/>
                <w:highlight w:val="none"/>
              </w:rPr>
              <w:t>A1、A2、……An 分别为各项评审因素所占的权重(A1＋A2＋……＋An＝1)。</w:t>
            </w:r>
          </w:p>
          <w:p w14:paraId="7C7BAA31">
            <w:pPr>
              <w:snapToGrid w:val="0"/>
              <w:spacing w:line="300" w:lineRule="auto"/>
              <w:rPr>
                <w:rFonts w:ascii="宋体" w:hAnsi="宋体" w:eastAsia="宋体"/>
                <w:color w:val="auto"/>
                <w:sz w:val="24"/>
                <w:szCs w:val="18"/>
                <w:highlight w:val="none"/>
              </w:rPr>
            </w:pPr>
            <w:r>
              <w:rPr>
                <w:rFonts w:ascii="宋体" w:hAnsi="宋体" w:eastAsia="宋体"/>
                <w:color w:val="auto"/>
                <w:sz w:val="24"/>
                <w:szCs w:val="18"/>
                <w:highlight w:val="none"/>
              </w:rPr>
              <w:t>评标过程中，不得去掉报价中的最高报价和最低报价。</w:t>
            </w:r>
          </w:p>
          <w:p w14:paraId="1DB82A0C">
            <w:pPr>
              <w:snapToGrid w:val="0"/>
              <w:spacing w:line="300" w:lineRule="auto"/>
              <w:rPr>
                <w:rFonts w:ascii="宋体" w:hAnsi="宋体" w:eastAsia="宋体"/>
                <w:color w:val="auto"/>
                <w:sz w:val="24"/>
                <w:szCs w:val="18"/>
                <w:highlight w:val="none"/>
              </w:rPr>
            </w:pPr>
            <w:r>
              <w:rPr>
                <w:rFonts w:ascii="宋体" w:hAnsi="宋体" w:eastAsia="宋体"/>
                <w:color w:val="auto"/>
                <w:sz w:val="24"/>
                <w:szCs w:val="18"/>
                <w:highlight w:val="none"/>
              </w:rPr>
              <w:t>此方法适用于货物类、服务类、工程类项目。</w:t>
            </w:r>
          </w:p>
        </w:tc>
      </w:tr>
      <w:tr w14:paraId="329057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restart"/>
            <w:tcBorders>
              <w:top w:val="single" w:color="000000" w:sz="8" w:space="0"/>
              <w:left w:val="single" w:color="000000" w:sz="8" w:space="0"/>
              <w:right w:val="single" w:color="000000" w:sz="8" w:space="0"/>
            </w:tcBorders>
            <w:noWrap w:val="0"/>
            <w:vAlign w:val="center"/>
          </w:tcPr>
          <w:p w14:paraId="29431597">
            <w:pPr>
              <w:widowControl/>
              <w:wordWrap w:val="0"/>
              <w:spacing w:line="300" w:lineRule="auto"/>
              <w:jc w:val="center"/>
              <w:rPr>
                <w:rFonts w:eastAsia="宋体"/>
                <w:b/>
                <w:bCs/>
                <w:color w:val="auto"/>
                <w:sz w:val="24"/>
                <w:szCs w:val="18"/>
                <w:highlight w:val="none"/>
              </w:rPr>
            </w:pPr>
            <w:r>
              <w:rPr>
                <w:rFonts w:ascii="宋体" w:hAnsi="宋体" w:eastAsia="宋体" w:cs="宋体"/>
                <w:b/>
                <w:bCs/>
                <w:color w:val="auto"/>
                <w:kern w:val="0"/>
                <w:sz w:val="24"/>
                <w:szCs w:val="18"/>
                <w:highlight w:val="none"/>
                <w:lang w:bidi="ar"/>
              </w:rPr>
              <w:t>2</w:t>
            </w:r>
          </w:p>
        </w:tc>
        <w:tc>
          <w:tcPr>
            <w:tcW w:w="3030" w:type="dxa"/>
            <w:gridSpan w:val="3"/>
            <w:tcBorders>
              <w:top w:val="single" w:color="000000" w:sz="8" w:space="0"/>
              <w:left w:val="single" w:color="000000" w:sz="8" w:space="0"/>
              <w:bottom w:val="single" w:color="000000" w:sz="8" w:space="0"/>
              <w:right w:val="single" w:color="000000" w:sz="8" w:space="0"/>
            </w:tcBorders>
            <w:noWrap w:val="0"/>
            <w:vAlign w:val="center"/>
          </w:tcPr>
          <w:p w14:paraId="72448C1F">
            <w:pPr>
              <w:widowControl/>
              <w:wordWrap w:val="0"/>
              <w:spacing w:line="300" w:lineRule="auto"/>
              <w:jc w:val="center"/>
              <w:rPr>
                <w:rFonts w:eastAsia="宋体"/>
                <w:b/>
                <w:bCs/>
                <w:color w:val="auto"/>
                <w:sz w:val="24"/>
                <w:szCs w:val="18"/>
                <w:highlight w:val="none"/>
              </w:rPr>
            </w:pPr>
            <w:r>
              <w:rPr>
                <w:rFonts w:hint="eastAsia" w:ascii="宋体" w:hAnsi="宋体" w:eastAsia="宋体" w:cs="宋体"/>
                <w:b/>
                <w:bCs/>
                <w:color w:val="auto"/>
                <w:kern w:val="0"/>
                <w:sz w:val="24"/>
                <w:szCs w:val="18"/>
                <w:highlight w:val="none"/>
                <w:lang w:bidi="ar"/>
              </w:rPr>
              <w:t>商务</w:t>
            </w:r>
            <w:r>
              <w:rPr>
                <w:rFonts w:ascii="宋体" w:hAnsi="宋体" w:eastAsia="宋体" w:cs="宋体"/>
                <w:b/>
                <w:bCs/>
                <w:color w:val="auto"/>
                <w:kern w:val="0"/>
                <w:sz w:val="24"/>
                <w:szCs w:val="18"/>
                <w:highlight w:val="none"/>
                <w:lang w:bidi="ar"/>
              </w:rPr>
              <w:t>部分</w:t>
            </w:r>
          </w:p>
        </w:tc>
        <w:tc>
          <w:tcPr>
            <w:tcW w:w="5367" w:type="dxa"/>
            <w:tcBorders>
              <w:top w:val="single" w:color="000000" w:sz="8" w:space="0"/>
              <w:left w:val="single" w:color="000000" w:sz="8" w:space="0"/>
              <w:bottom w:val="single" w:color="000000" w:sz="8" w:space="0"/>
              <w:right w:val="single" w:color="000000" w:sz="8" w:space="0"/>
            </w:tcBorders>
            <w:noWrap w:val="0"/>
            <w:vAlign w:val="center"/>
          </w:tcPr>
          <w:p w14:paraId="67A9203B">
            <w:pPr>
              <w:widowControl/>
              <w:wordWrap w:val="0"/>
              <w:spacing w:line="300" w:lineRule="auto"/>
              <w:jc w:val="center"/>
              <w:rPr>
                <w:rFonts w:hint="default" w:eastAsia="宋体"/>
                <w:b/>
                <w:bCs/>
                <w:color w:val="auto"/>
                <w:sz w:val="24"/>
                <w:szCs w:val="18"/>
                <w:highlight w:val="none"/>
                <w:lang w:val="en-US" w:eastAsia="zh-CN"/>
              </w:rPr>
            </w:pPr>
            <w:r>
              <w:rPr>
                <w:rFonts w:hint="eastAsia" w:eastAsia="宋体"/>
                <w:b/>
                <w:bCs/>
                <w:color w:val="auto"/>
                <w:sz w:val="24"/>
                <w:szCs w:val="18"/>
                <w:highlight w:val="none"/>
                <w:lang w:val="en-US" w:eastAsia="zh-CN"/>
              </w:rPr>
              <w:t>35</w:t>
            </w:r>
          </w:p>
        </w:tc>
      </w:tr>
      <w:tr w14:paraId="456086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shd w:val="clear" w:color="auto" w:fill="E6EFFA"/>
            <w:noWrap w:val="0"/>
            <w:vAlign w:val="center"/>
          </w:tcPr>
          <w:p w14:paraId="3D205D82">
            <w:pPr>
              <w:spacing w:line="300" w:lineRule="auto"/>
              <w:jc w:val="center"/>
              <w:rPr>
                <w:rFonts w:ascii="宋体" w:eastAsia="宋体"/>
                <w:b/>
                <w:bCs/>
                <w:color w:val="auto"/>
                <w:sz w:val="24"/>
                <w:szCs w:val="18"/>
                <w:highlight w:val="none"/>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6D02673A">
            <w:pPr>
              <w:widowControl/>
              <w:wordWrap w:val="0"/>
              <w:spacing w:line="300" w:lineRule="auto"/>
              <w:jc w:val="center"/>
              <w:rPr>
                <w:rFonts w:eastAsia="宋体"/>
                <w:color w:val="auto"/>
                <w:sz w:val="24"/>
                <w:szCs w:val="18"/>
                <w:highlight w:val="none"/>
              </w:rPr>
            </w:pPr>
            <w:r>
              <w:rPr>
                <w:rFonts w:ascii="宋体" w:hAnsi="宋体" w:eastAsia="宋体" w:cs="宋体"/>
                <w:color w:val="auto"/>
                <w:kern w:val="0"/>
                <w:sz w:val="24"/>
                <w:szCs w:val="18"/>
                <w:highlight w:val="none"/>
                <w:lang w:bidi="ar"/>
              </w:rPr>
              <w:t>序号</w:t>
            </w:r>
          </w:p>
        </w:tc>
        <w:tc>
          <w:tcPr>
            <w:tcW w:w="1613"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47100653">
            <w:pPr>
              <w:widowControl/>
              <w:wordWrap w:val="0"/>
              <w:spacing w:line="300" w:lineRule="auto"/>
              <w:jc w:val="center"/>
              <w:rPr>
                <w:rFonts w:eastAsia="宋体"/>
                <w:color w:val="auto"/>
                <w:sz w:val="24"/>
                <w:szCs w:val="18"/>
                <w:highlight w:val="none"/>
              </w:rPr>
            </w:pPr>
            <w:r>
              <w:rPr>
                <w:rFonts w:ascii="宋体" w:hAnsi="宋体" w:eastAsia="宋体" w:cs="宋体"/>
                <w:color w:val="auto"/>
                <w:kern w:val="0"/>
                <w:sz w:val="24"/>
                <w:szCs w:val="18"/>
                <w:highlight w:val="none"/>
                <w:lang w:bidi="ar"/>
              </w:rPr>
              <w:t>评分因素</w:t>
            </w:r>
          </w:p>
        </w:tc>
        <w:tc>
          <w:tcPr>
            <w:tcW w:w="736"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39856EC8">
            <w:pPr>
              <w:widowControl/>
              <w:wordWrap w:val="0"/>
              <w:spacing w:line="300" w:lineRule="auto"/>
              <w:jc w:val="center"/>
              <w:rPr>
                <w:rFonts w:hint="eastAsia" w:eastAsia="宋体"/>
                <w:color w:val="auto"/>
                <w:sz w:val="24"/>
                <w:szCs w:val="18"/>
                <w:highlight w:val="none"/>
                <w:lang w:eastAsia="zh-CN"/>
              </w:rPr>
            </w:pPr>
            <w:r>
              <w:rPr>
                <w:rFonts w:hint="eastAsia" w:ascii="宋体" w:hAnsi="宋体" w:eastAsia="宋体" w:cs="宋体"/>
                <w:color w:val="auto"/>
                <w:kern w:val="0"/>
                <w:sz w:val="24"/>
                <w:szCs w:val="18"/>
                <w:highlight w:val="none"/>
                <w:lang w:val="en-US" w:eastAsia="zh-CN" w:bidi="ar"/>
              </w:rPr>
              <w:t>分值</w:t>
            </w:r>
          </w:p>
        </w:tc>
        <w:tc>
          <w:tcPr>
            <w:tcW w:w="5367"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2CE6EE8A">
            <w:pPr>
              <w:widowControl/>
              <w:wordWrap w:val="0"/>
              <w:spacing w:line="300" w:lineRule="auto"/>
              <w:jc w:val="center"/>
              <w:rPr>
                <w:rFonts w:eastAsia="宋体"/>
                <w:color w:val="auto"/>
                <w:sz w:val="24"/>
                <w:szCs w:val="18"/>
                <w:highlight w:val="none"/>
              </w:rPr>
            </w:pPr>
            <w:r>
              <w:rPr>
                <w:rFonts w:ascii="宋体" w:hAnsi="宋体" w:eastAsia="宋体" w:cs="宋体"/>
                <w:color w:val="auto"/>
                <w:kern w:val="0"/>
                <w:sz w:val="24"/>
                <w:szCs w:val="18"/>
                <w:highlight w:val="none"/>
                <w:lang w:bidi="ar"/>
              </w:rPr>
              <w:t>评分准则</w:t>
            </w:r>
          </w:p>
        </w:tc>
      </w:tr>
      <w:tr w14:paraId="5A0FFB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noWrap w:val="0"/>
            <w:vAlign w:val="center"/>
          </w:tcPr>
          <w:p w14:paraId="6A6208A4">
            <w:pPr>
              <w:spacing w:line="300" w:lineRule="auto"/>
              <w:jc w:val="center"/>
              <w:rPr>
                <w:rFonts w:ascii="宋体" w:eastAsia="宋体"/>
                <w:b/>
                <w:bCs/>
                <w:color w:val="auto"/>
                <w:sz w:val="24"/>
                <w:szCs w:val="18"/>
                <w:highlight w:val="none"/>
              </w:rPr>
            </w:pP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527D6391">
            <w:pPr>
              <w:widowControl/>
              <w:wordWrap w:val="0"/>
              <w:spacing w:line="300" w:lineRule="auto"/>
              <w:jc w:val="center"/>
              <w:textAlignment w:val="top"/>
              <w:rPr>
                <w:rFonts w:ascii="宋体" w:hAnsi="宋体" w:eastAsia="宋体" w:cs="宋体"/>
                <w:color w:val="auto"/>
                <w:kern w:val="0"/>
                <w:sz w:val="24"/>
                <w:szCs w:val="18"/>
                <w:highlight w:val="none"/>
                <w:lang w:bidi="ar"/>
              </w:rPr>
            </w:pPr>
            <w:r>
              <w:rPr>
                <w:rFonts w:hint="eastAsia" w:ascii="宋体" w:hAnsi="宋体" w:eastAsia="宋体" w:cs="宋体"/>
                <w:color w:val="auto"/>
                <w:kern w:val="0"/>
                <w:sz w:val="24"/>
                <w:szCs w:val="18"/>
                <w:highlight w:val="none"/>
                <w:lang w:bidi="ar"/>
              </w:rPr>
              <w:t>1</w:t>
            </w:r>
          </w:p>
        </w:tc>
        <w:tc>
          <w:tcPr>
            <w:tcW w:w="1613" w:type="dxa"/>
            <w:tcBorders>
              <w:top w:val="single" w:color="000000" w:sz="8" w:space="0"/>
              <w:left w:val="single" w:color="000000" w:sz="8" w:space="0"/>
              <w:bottom w:val="single" w:color="000000" w:sz="8" w:space="0"/>
              <w:right w:val="single" w:color="000000" w:sz="8" w:space="0"/>
            </w:tcBorders>
            <w:noWrap w:val="0"/>
            <w:vAlign w:val="center"/>
          </w:tcPr>
          <w:p w14:paraId="4FCC7B1C">
            <w:pPr>
              <w:widowControl/>
              <w:wordWrap w:val="0"/>
              <w:spacing w:line="300" w:lineRule="auto"/>
              <w:jc w:val="center"/>
              <w:textAlignment w:val="center"/>
              <w:rPr>
                <w:rFonts w:hint="eastAsia" w:ascii="宋体" w:hAnsi="宋体" w:eastAsia="宋体" w:cs="宋体"/>
                <w:bCs w:val="0"/>
                <w:color w:val="auto"/>
                <w:kern w:val="0"/>
                <w:sz w:val="24"/>
                <w:szCs w:val="18"/>
                <w:highlight w:val="none"/>
                <w:lang w:bidi="ar"/>
              </w:rPr>
            </w:pPr>
            <w:r>
              <w:rPr>
                <w:rFonts w:hint="eastAsia" w:ascii="宋体" w:hAnsi="宋体" w:eastAsia="宋体" w:cs="宋体"/>
                <w:color w:val="auto"/>
                <w:kern w:val="0"/>
                <w:sz w:val="24"/>
                <w:szCs w:val="18"/>
                <w:highlight w:val="none"/>
                <w:lang w:bidi="ar"/>
              </w:rPr>
              <w:t>投标人通过相关认证情况</w:t>
            </w:r>
          </w:p>
        </w:tc>
        <w:tc>
          <w:tcPr>
            <w:tcW w:w="736" w:type="dxa"/>
            <w:tcBorders>
              <w:top w:val="single" w:color="000000" w:sz="8" w:space="0"/>
              <w:left w:val="single" w:color="000000" w:sz="8" w:space="0"/>
              <w:bottom w:val="single" w:color="000000" w:sz="8" w:space="0"/>
              <w:right w:val="single" w:color="000000" w:sz="8" w:space="0"/>
            </w:tcBorders>
            <w:noWrap w:val="0"/>
            <w:vAlign w:val="center"/>
          </w:tcPr>
          <w:p w14:paraId="2AFB8F38">
            <w:pPr>
              <w:widowControl/>
              <w:wordWrap w:val="0"/>
              <w:spacing w:line="300" w:lineRule="auto"/>
              <w:jc w:val="center"/>
              <w:textAlignment w:val="top"/>
              <w:rPr>
                <w:rFonts w:hint="eastAsia" w:ascii="宋体" w:hAnsi="宋体" w:eastAsia="宋体" w:cs="宋体"/>
                <w:bCs w:val="0"/>
                <w:color w:val="auto"/>
                <w:kern w:val="0"/>
                <w:sz w:val="24"/>
                <w:szCs w:val="18"/>
                <w:highlight w:val="none"/>
                <w:lang w:val="en-US" w:eastAsia="zh-CN" w:bidi="ar"/>
              </w:rPr>
            </w:pPr>
            <w:r>
              <w:rPr>
                <w:rFonts w:hint="eastAsia" w:ascii="宋体" w:hAnsi="宋体" w:eastAsia="宋体" w:cs="宋体"/>
                <w:color w:val="auto"/>
                <w:kern w:val="0"/>
                <w:sz w:val="24"/>
                <w:szCs w:val="18"/>
                <w:highlight w:val="none"/>
                <w:lang w:bidi="ar"/>
              </w:rPr>
              <w:t>10</w:t>
            </w:r>
          </w:p>
        </w:tc>
        <w:tc>
          <w:tcPr>
            <w:tcW w:w="5367" w:type="dxa"/>
            <w:tcBorders>
              <w:top w:val="single" w:color="000000" w:sz="8" w:space="0"/>
              <w:left w:val="single" w:color="000000" w:sz="8" w:space="0"/>
              <w:bottom w:val="single" w:color="000000" w:sz="8" w:space="0"/>
              <w:right w:val="single" w:color="000000" w:sz="8" w:space="0"/>
            </w:tcBorders>
            <w:noWrap w:val="0"/>
            <w:vAlign w:val="center"/>
          </w:tcPr>
          <w:p w14:paraId="3D91FEF3">
            <w:pPr>
              <w:widowControl/>
              <w:wordWrap/>
              <w:spacing w:line="240" w:lineRule="auto"/>
              <w:jc w:val="left"/>
              <w:textAlignment w:val="auto"/>
              <w:rPr>
                <w:rFonts w:hint="eastAsia" w:ascii="宋体" w:hAnsi="宋体" w:eastAsia="宋体" w:cs="宋体"/>
                <w:color w:val="auto"/>
                <w:kern w:val="0"/>
                <w:sz w:val="24"/>
                <w:szCs w:val="18"/>
                <w:highlight w:val="none"/>
                <w:lang w:bidi="ar"/>
              </w:rPr>
            </w:pPr>
            <w:r>
              <w:rPr>
                <w:rFonts w:hint="eastAsia" w:ascii="宋体" w:hAnsi="宋体" w:eastAsia="宋体" w:cs="宋体"/>
                <w:color w:val="auto"/>
                <w:kern w:val="0"/>
                <w:sz w:val="24"/>
                <w:szCs w:val="18"/>
                <w:highlight w:val="none"/>
                <w:lang w:bidi="ar"/>
              </w:rPr>
              <w:t>评分内容：</w:t>
            </w:r>
          </w:p>
          <w:p w14:paraId="3D6F60FF">
            <w:pPr>
              <w:widowControl/>
              <w:wordWrap/>
              <w:spacing w:line="240" w:lineRule="auto"/>
              <w:jc w:val="left"/>
              <w:textAlignment w:val="auto"/>
              <w:rPr>
                <w:rFonts w:hint="eastAsia" w:ascii="宋体" w:hAnsi="宋体" w:eastAsia="宋体" w:cs="宋体"/>
                <w:color w:val="auto"/>
                <w:kern w:val="0"/>
                <w:sz w:val="24"/>
                <w:szCs w:val="18"/>
                <w:highlight w:val="none"/>
                <w:lang w:bidi="ar"/>
              </w:rPr>
            </w:pPr>
            <w:r>
              <w:rPr>
                <w:rFonts w:hint="eastAsia" w:ascii="宋体" w:hAnsi="宋体" w:eastAsia="宋体" w:cs="宋体"/>
                <w:color w:val="auto"/>
                <w:kern w:val="0"/>
                <w:sz w:val="24"/>
                <w:szCs w:val="18"/>
                <w:highlight w:val="none"/>
                <w:lang w:bidi="ar"/>
              </w:rPr>
              <w:t>投标人具有以下资质及相关认证：</w:t>
            </w:r>
          </w:p>
          <w:p w14:paraId="38BAD488">
            <w:pPr>
              <w:widowControl/>
              <w:wordWrap/>
              <w:spacing w:line="240" w:lineRule="auto"/>
              <w:jc w:val="left"/>
              <w:textAlignment w:val="auto"/>
              <w:rPr>
                <w:rFonts w:hint="eastAsia" w:ascii="宋体" w:hAnsi="宋体" w:eastAsia="宋体" w:cs="宋体"/>
                <w:color w:val="auto"/>
                <w:kern w:val="0"/>
                <w:sz w:val="24"/>
                <w:szCs w:val="18"/>
                <w:highlight w:val="none"/>
                <w:lang w:bidi="ar"/>
              </w:rPr>
            </w:pPr>
            <w:r>
              <w:rPr>
                <w:rFonts w:hint="eastAsia" w:ascii="宋体" w:hAnsi="宋体" w:eastAsia="宋体" w:cs="宋体"/>
                <w:color w:val="auto"/>
                <w:kern w:val="0"/>
                <w:sz w:val="24"/>
                <w:szCs w:val="18"/>
                <w:highlight w:val="none"/>
                <w:lang w:bidi="ar"/>
              </w:rPr>
              <w:t>1.ISO9001质量管理体系证书；</w:t>
            </w:r>
          </w:p>
          <w:p w14:paraId="7FF8AA89">
            <w:pPr>
              <w:widowControl/>
              <w:wordWrap/>
              <w:spacing w:line="240" w:lineRule="auto"/>
              <w:jc w:val="left"/>
              <w:textAlignment w:val="auto"/>
              <w:rPr>
                <w:rFonts w:hint="eastAsia" w:ascii="宋体" w:hAnsi="宋体" w:eastAsia="宋体" w:cs="宋体"/>
                <w:color w:val="auto"/>
                <w:kern w:val="0"/>
                <w:sz w:val="24"/>
                <w:szCs w:val="18"/>
                <w:highlight w:val="none"/>
                <w:lang w:bidi="ar"/>
              </w:rPr>
            </w:pPr>
            <w:r>
              <w:rPr>
                <w:rFonts w:hint="eastAsia" w:ascii="宋体" w:hAnsi="宋体" w:eastAsia="宋体" w:cs="宋体"/>
                <w:color w:val="auto"/>
                <w:kern w:val="0"/>
                <w:sz w:val="24"/>
                <w:szCs w:val="18"/>
                <w:highlight w:val="none"/>
                <w:lang w:bidi="ar"/>
              </w:rPr>
              <w:t>2.ISO14001环境管理体系证书；</w:t>
            </w:r>
          </w:p>
          <w:p w14:paraId="01187602">
            <w:pPr>
              <w:widowControl/>
              <w:wordWrap/>
              <w:spacing w:line="240" w:lineRule="auto"/>
              <w:jc w:val="left"/>
              <w:textAlignment w:val="auto"/>
              <w:rPr>
                <w:rFonts w:hint="eastAsia" w:ascii="宋体" w:hAnsi="宋体" w:eastAsia="宋体" w:cs="宋体"/>
                <w:color w:val="auto"/>
                <w:kern w:val="0"/>
                <w:sz w:val="24"/>
                <w:szCs w:val="18"/>
                <w:highlight w:val="none"/>
                <w:lang w:bidi="ar"/>
              </w:rPr>
            </w:pPr>
            <w:r>
              <w:rPr>
                <w:rFonts w:hint="eastAsia" w:ascii="宋体" w:hAnsi="宋体" w:eastAsia="宋体" w:cs="宋体"/>
                <w:color w:val="auto"/>
                <w:kern w:val="0"/>
                <w:sz w:val="24"/>
                <w:szCs w:val="18"/>
                <w:highlight w:val="none"/>
                <w:lang w:bidi="ar"/>
              </w:rPr>
              <w:t>3.ISO45001职业健康安全管理体系证书；</w:t>
            </w:r>
          </w:p>
          <w:p w14:paraId="0212D7A0">
            <w:pPr>
              <w:widowControl/>
              <w:wordWrap/>
              <w:spacing w:line="240" w:lineRule="auto"/>
              <w:jc w:val="left"/>
              <w:textAlignment w:val="auto"/>
              <w:rPr>
                <w:rFonts w:hint="eastAsia" w:ascii="宋体" w:hAnsi="宋体" w:eastAsia="宋体" w:cs="宋体"/>
                <w:color w:val="auto"/>
                <w:kern w:val="0"/>
                <w:sz w:val="24"/>
                <w:szCs w:val="18"/>
                <w:highlight w:val="none"/>
                <w:lang w:bidi="ar"/>
              </w:rPr>
            </w:pPr>
            <w:r>
              <w:rPr>
                <w:rFonts w:hint="eastAsia" w:ascii="宋体" w:hAnsi="宋体" w:eastAsia="宋体" w:cs="宋体"/>
                <w:color w:val="auto"/>
                <w:kern w:val="0"/>
                <w:sz w:val="24"/>
                <w:szCs w:val="18"/>
                <w:highlight w:val="none"/>
                <w:lang w:bidi="ar"/>
              </w:rPr>
              <w:t>4. ISO22301业务连续性管理体系证书。</w:t>
            </w:r>
          </w:p>
          <w:p w14:paraId="2BE7D6E4">
            <w:pPr>
              <w:widowControl/>
              <w:wordWrap/>
              <w:spacing w:line="240" w:lineRule="auto"/>
              <w:jc w:val="left"/>
              <w:textAlignment w:val="auto"/>
              <w:rPr>
                <w:rFonts w:hint="eastAsia" w:ascii="宋体" w:hAnsi="宋体" w:eastAsia="宋体" w:cs="宋体"/>
                <w:color w:val="auto"/>
                <w:kern w:val="0"/>
                <w:sz w:val="24"/>
                <w:szCs w:val="18"/>
                <w:highlight w:val="none"/>
                <w:lang w:bidi="ar"/>
              </w:rPr>
            </w:pPr>
            <w:r>
              <w:rPr>
                <w:rFonts w:hint="eastAsia" w:ascii="宋体" w:hAnsi="宋体" w:eastAsia="宋体" w:cs="宋体"/>
                <w:color w:val="auto"/>
                <w:kern w:val="0"/>
                <w:sz w:val="24"/>
                <w:szCs w:val="18"/>
                <w:highlight w:val="none"/>
                <w:lang w:bidi="ar"/>
              </w:rPr>
              <w:t>投标人每提供以上一项认证得2.5分，最高得10分。其他情况不得分。</w:t>
            </w:r>
          </w:p>
          <w:p w14:paraId="72136CD2">
            <w:pPr>
              <w:widowControl/>
              <w:wordWrap/>
              <w:spacing w:line="240" w:lineRule="auto"/>
              <w:jc w:val="left"/>
              <w:textAlignment w:val="auto"/>
              <w:rPr>
                <w:rFonts w:hint="eastAsia" w:ascii="宋体" w:hAnsi="宋体" w:eastAsia="宋体" w:cs="宋体"/>
                <w:color w:val="auto"/>
                <w:kern w:val="0"/>
                <w:sz w:val="24"/>
                <w:szCs w:val="18"/>
                <w:highlight w:val="none"/>
                <w:lang w:bidi="ar"/>
              </w:rPr>
            </w:pPr>
            <w:r>
              <w:rPr>
                <w:rFonts w:hint="eastAsia" w:ascii="宋体" w:hAnsi="宋体" w:eastAsia="宋体" w:cs="宋体"/>
                <w:color w:val="auto"/>
                <w:kern w:val="0"/>
                <w:sz w:val="24"/>
                <w:szCs w:val="18"/>
                <w:highlight w:val="none"/>
                <w:lang w:bidi="ar"/>
              </w:rPr>
              <w:t>评分依据：</w:t>
            </w:r>
          </w:p>
          <w:p w14:paraId="5708F9CB">
            <w:pPr>
              <w:widowControl/>
              <w:wordWrap/>
              <w:spacing w:line="240" w:lineRule="auto"/>
              <w:jc w:val="left"/>
              <w:textAlignment w:val="auto"/>
              <w:rPr>
                <w:rFonts w:hint="eastAsia" w:ascii="宋体" w:hAnsi="宋体" w:eastAsia="宋体" w:cs="宋体"/>
                <w:color w:val="auto"/>
                <w:kern w:val="0"/>
                <w:sz w:val="24"/>
                <w:szCs w:val="18"/>
                <w:highlight w:val="none"/>
                <w:lang w:bidi="ar"/>
              </w:rPr>
            </w:pPr>
            <w:r>
              <w:rPr>
                <w:rFonts w:hint="eastAsia" w:ascii="宋体" w:hAnsi="宋体" w:eastAsia="宋体" w:cs="宋体"/>
                <w:color w:val="auto"/>
                <w:kern w:val="0"/>
                <w:sz w:val="24"/>
                <w:szCs w:val="18"/>
                <w:highlight w:val="none"/>
                <w:lang w:bidi="ar"/>
              </w:rPr>
              <w:t>1、投标人提供在有效期内的认证证书扫描件（如证书要求年审的，须体现相关年审信息），同时提供全国认证认可信息公共服务平台（认e云）（http://cx.cnca.cn/CertECloud/index/index/page）网站上查询有效的截图（须体现网站信息）。原件备查，未提供或未按要求提供或提供的资料不清晰导致专家无法判断的不得分</w:t>
            </w:r>
          </w:p>
          <w:p w14:paraId="5D43DA38">
            <w:pPr>
              <w:widowControl/>
              <w:wordWrap/>
              <w:spacing w:line="240" w:lineRule="auto"/>
              <w:jc w:val="left"/>
              <w:textAlignment w:val="auto"/>
              <w:rPr>
                <w:rFonts w:hint="eastAsia" w:ascii="宋体" w:hAnsi="宋体" w:eastAsia="宋体" w:cs="宋体"/>
                <w:color w:val="auto"/>
                <w:kern w:val="0"/>
                <w:sz w:val="24"/>
                <w:szCs w:val="18"/>
                <w:highlight w:val="none"/>
                <w:lang w:bidi="ar"/>
              </w:rPr>
            </w:pPr>
            <w:r>
              <w:rPr>
                <w:rFonts w:hint="eastAsia" w:ascii="宋体" w:hAnsi="宋体" w:eastAsia="宋体" w:cs="宋体"/>
                <w:color w:val="auto"/>
                <w:kern w:val="0"/>
                <w:sz w:val="24"/>
                <w:szCs w:val="18"/>
                <w:highlight w:val="none"/>
                <w:lang w:bidi="ar"/>
              </w:rPr>
              <w:t>2.以上资料均要求提供扫描件（或官方网站截图），原件备查。评分中出现无证明资料或专家无法凭所提供资料判断是否得分的情况，一律作不得分处理。</w:t>
            </w:r>
          </w:p>
        </w:tc>
      </w:tr>
      <w:tr w14:paraId="2D0CD1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noWrap w:val="0"/>
            <w:vAlign w:val="center"/>
          </w:tcPr>
          <w:p w14:paraId="1FE47927">
            <w:pPr>
              <w:spacing w:line="300" w:lineRule="auto"/>
              <w:jc w:val="center"/>
              <w:rPr>
                <w:rFonts w:ascii="宋体" w:eastAsia="宋体"/>
                <w:b/>
                <w:bCs/>
                <w:color w:val="auto"/>
                <w:sz w:val="24"/>
                <w:szCs w:val="18"/>
                <w:highlight w:val="none"/>
              </w:rPr>
            </w:pP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1C826796">
            <w:pPr>
              <w:widowControl/>
              <w:wordWrap w:val="0"/>
              <w:spacing w:line="300" w:lineRule="auto"/>
              <w:jc w:val="center"/>
              <w:textAlignment w:val="top"/>
              <w:rPr>
                <w:rFonts w:eastAsia="宋体"/>
                <w:color w:val="auto"/>
                <w:sz w:val="24"/>
                <w:szCs w:val="18"/>
                <w:highlight w:val="none"/>
              </w:rPr>
            </w:pPr>
            <w:r>
              <w:rPr>
                <w:rFonts w:hint="eastAsia" w:ascii="宋体" w:hAnsi="宋体" w:eastAsia="宋体" w:cs="宋体"/>
                <w:color w:val="auto"/>
                <w:kern w:val="0"/>
                <w:sz w:val="24"/>
                <w:szCs w:val="18"/>
                <w:highlight w:val="none"/>
                <w:lang w:bidi="ar"/>
              </w:rPr>
              <w:t>2</w:t>
            </w:r>
          </w:p>
        </w:tc>
        <w:tc>
          <w:tcPr>
            <w:tcW w:w="1613" w:type="dxa"/>
            <w:tcBorders>
              <w:top w:val="single" w:color="000000" w:sz="8" w:space="0"/>
              <w:left w:val="single" w:color="000000" w:sz="8" w:space="0"/>
              <w:bottom w:val="single" w:color="000000" w:sz="8" w:space="0"/>
              <w:right w:val="single" w:color="000000" w:sz="8" w:space="0"/>
            </w:tcBorders>
            <w:noWrap w:val="0"/>
            <w:vAlign w:val="center"/>
          </w:tcPr>
          <w:p w14:paraId="45EEAE49">
            <w:pPr>
              <w:pStyle w:val="11"/>
              <w:rPr>
                <w:rFonts w:hint="eastAsia" w:ascii="宋体" w:hAnsi="宋体" w:cs="宋体"/>
                <w:color w:val="auto"/>
                <w:sz w:val="24"/>
                <w:szCs w:val="18"/>
                <w:highlight w:val="none"/>
              </w:rPr>
            </w:pPr>
            <w:r>
              <w:rPr>
                <w:rFonts w:hint="eastAsia" w:ascii="楷体" w:hAnsi="楷体" w:eastAsia="宋体"/>
                <w:sz w:val="24"/>
                <w:szCs w:val="21"/>
              </w:rPr>
              <w:t>投标人同类项目业绩情况</w:t>
            </w:r>
          </w:p>
        </w:tc>
        <w:tc>
          <w:tcPr>
            <w:tcW w:w="736" w:type="dxa"/>
            <w:tcBorders>
              <w:top w:val="single" w:color="000000" w:sz="8" w:space="0"/>
              <w:left w:val="single" w:color="000000" w:sz="8" w:space="0"/>
              <w:bottom w:val="single" w:color="000000" w:sz="8" w:space="0"/>
              <w:right w:val="single" w:color="000000" w:sz="8" w:space="0"/>
            </w:tcBorders>
            <w:noWrap w:val="0"/>
            <w:vAlign w:val="center"/>
          </w:tcPr>
          <w:p w14:paraId="47C57A6E">
            <w:pPr>
              <w:pStyle w:val="11"/>
              <w:jc w:val="center"/>
              <w:rPr>
                <w:rFonts w:hint="default" w:eastAsia="宋体"/>
                <w:bCs/>
                <w:color w:val="auto"/>
                <w:sz w:val="24"/>
                <w:szCs w:val="15"/>
                <w:highlight w:val="none"/>
                <w:lang w:val="en-US" w:eastAsia="zh-CN"/>
              </w:rPr>
            </w:pPr>
            <w:r>
              <w:rPr>
                <w:rFonts w:hint="eastAsia" w:ascii="楷体" w:hAnsi="楷体" w:eastAsia="宋体"/>
                <w:sz w:val="24"/>
                <w:szCs w:val="21"/>
              </w:rPr>
              <w:t>2</w:t>
            </w:r>
          </w:p>
        </w:tc>
        <w:tc>
          <w:tcPr>
            <w:tcW w:w="5367" w:type="dxa"/>
            <w:tcBorders>
              <w:top w:val="single" w:color="000000" w:sz="8" w:space="0"/>
              <w:left w:val="single" w:color="000000" w:sz="8" w:space="0"/>
              <w:bottom w:val="single" w:color="000000" w:sz="8" w:space="0"/>
              <w:right w:val="single" w:color="000000" w:sz="8" w:space="0"/>
            </w:tcBorders>
            <w:noWrap w:val="0"/>
            <w:vAlign w:val="center"/>
          </w:tcPr>
          <w:p w14:paraId="7D72599F">
            <w:pPr>
              <w:pStyle w:val="11"/>
              <w:rPr>
                <w:rFonts w:hint="eastAsia" w:ascii="楷体" w:hAnsi="楷体" w:eastAsia="宋体"/>
                <w:b/>
                <w:bCs/>
                <w:sz w:val="24"/>
                <w:szCs w:val="21"/>
              </w:rPr>
            </w:pPr>
            <w:r>
              <w:rPr>
                <w:rFonts w:hint="eastAsia" w:ascii="楷体" w:hAnsi="楷体" w:eastAsia="宋体"/>
                <w:b/>
                <w:bCs/>
                <w:sz w:val="24"/>
                <w:szCs w:val="21"/>
              </w:rPr>
              <w:t>评分内容：</w:t>
            </w:r>
          </w:p>
          <w:p w14:paraId="02E502F0">
            <w:pPr>
              <w:pStyle w:val="11"/>
              <w:rPr>
                <w:rFonts w:hint="eastAsia" w:ascii="楷体" w:hAnsi="楷体" w:eastAsia="宋体"/>
                <w:sz w:val="24"/>
                <w:szCs w:val="21"/>
              </w:rPr>
            </w:pPr>
            <w:r>
              <w:rPr>
                <w:rFonts w:hint="eastAsia" w:ascii="楷体" w:hAnsi="楷体" w:eastAsia="宋体"/>
                <w:sz w:val="24"/>
                <w:szCs w:val="21"/>
              </w:rPr>
              <w:t>考察投标人近三年（20</w:t>
            </w:r>
            <w:r>
              <w:rPr>
                <w:rFonts w:ascii="楷体" w:hAnsi="楷体" w:eastAsia="宋体"/>
                <w:sz w:val="24"/>
                <w:szCs w:val="21"/>
              </w:rPr>
              <w:t>2</w:t>
            </w:r>
            <w:r>
              <w:rPr>
                <w:rFonts w:hint="eastAsia" w:ascii="楷体" w:hAnsi="楷体"/>
                <w:sz w:val="24"/>
                <w:szCs w:val="21"/>
                <w:lang w:eastAsia="zh-CN"/>
              </w:rPr>
              <w:t>3</w:t>
            </w:r>
            <w:r>
              <w:rPr>
                <w:rFonts w:hint="eastAsia" w:ascii="楷体" w:hAnsi="楷体" w:eastAsia="宋体"/>
                <w:sz w:val="24"/>
                <w:szCs w:val="21"/>
              </w:rPr>
              <w:t>年</w:t>
            </w:r>
            <w:r>
              <w:rPr>
                <w:rFonts w:hint="eastAsia" w:ascii="楷体" w:hAnsi="楷体"/>
                <w:sz w:val="24"/>
                <w:szCs w:val="21"/>
                <w:lang w:eastAsia="zh-CN"/>
              </w:rPr>
              <w:t>1</w:t>
            </w:r>
            <w:r>
              <w:rPr>
                <w:rFonts w:hint="eastAsia" w:ascii="楷体" w:hAnsi="楷体" w:eastAsia="宋体"/>
                <w:sz w:val="24"/>
                <w:szCs w:val="21"/>
              </w:rPr>
              <w:t>月1日至本项目投标截止之日，以合同签订时间为准）承担过合同采购人为政府行政单位或事业单位的同类业绩，提供一个业绩，得1分，最高得2分。</w:t>
            </w:r>
          </w:p>
          <w:p w14:paraId="4C078F2A">
            <w:pPr>
              <w:pStyle w:val="11"/>
              <w:rPr>
                <w:rFonts w:hint="eastAsia" w:ascii="楷体" w:hAnsi="楷体" w:eastAsia="宋体"/>
                <w:b/>
                <w:bCs/>
                <w:sz w:val="24"/>
                <w:szCs w:val="21"/>
              </w:rPr>
            </w:pPr>
            <w:r>
              <w:rPr>
                <w:rFonts w:hint="eastAsia" w:ascii="楷体" w:hAnsi="楷体" w:eastAsia="宋体"/>
                <w:b/>
                <w:bCs/>
                <w:sz w:val="24"/>
                <w:szCs w:val="21"/>
              </w:rPr>
              <w:t>评分依据：</w:t>
            </w:r>
          </w:p>
          <w:p w14:paraId="668402DC">
            <w:pPr>
              <w:pStyle w:val="11"/>
              <w:rPr>
                <w:rFonts w:hint="eastAsia" w:ascii="楷体" w:hAnsi="楷体" w:eastAsia="宋体"/>
                <w:sz w:val="24"/>
                <w:szCs w:val="21"/>
              </w:rPr>
            </w:pPr>
            <w:r>
              <w:rPr>
                <w:rFonts w:hint="eastAsia" w:ascii="楷体" w:hAnsi="楷体" w:eastAsia="宋体"/>
                <w:sz w:val="24"/>
                <w:szCs w:val="21"/>
              </w:rPr>
              <w:t>1.要求提供合同关键信息扫描件，并加盖公章。</w:t>
            </w:r>
          </w:p>
          <w:p w14:paraId="5139E600">
            <w:pPr>
              <w:pStyle w:val="11"/>
              <w:rPr>
                <w:rFonts w:hint="eastAsia" w:ascii="楷体" w:hAnsi="楷体" w:eastAsia="宋体"/>
                <w:sz w:val="24"/>
                <w:szCs w:val="21"/>
              </w:rPr>
            </w:pPr>
            <w:r>
              <w:rPr>
                <w:rFonts w:hint="eastAsia" w:ascii="楷体" w:hAnsi="楷体" w:eastAsia="宋体"/>
                <w:sz w:val="24"/>
                <w:szCs w:val="21"/>
              </w:rPr>
              <w:t>2.通过合同关键信息无法判断是否得分的，还须同时提供能证明得分的其它证明资料，如项目报告或合同采购人出具的证明文件等。</w:t>
            </w:r>
          </w:p>
          <w:p w14:paraId="5C369E85">
            <w:pPr>
              <w:pStyle w:val="11"/>
              <w:rPr>
                <w:rFonts w:hint="eastAsia"/>
                <w:color w:val="auto"/>
                <w:sz w:val="24"/>
                <w:szCs w:val="18"/>
                <w:highlight w:val="none"/>
              </w:rPr>
            </w:pPr>
            <w:r>
              <w:rPr>
                <w:rFonts w:hint="eastAsia" w:ascii="楷体" w:hAnsi="楷体" w:eastAsia="宋体"/>
                <w:sz w:val="24"/>
                <w:szCs w:val="21"/>
              </w:rPr>
              <w:t>3.以上资料均要求提供扫描件，原件备查。</w:t>
            </w:r>
            <w:r>
              <w:rPr>
                <w:rFonts w:ascii="楷体" w:hAnsi="楷体" w:eastAsia="宋体"/>
                <w:sz w:val="24"/>
                <w:szCs w:val="21"/>
              </w:rPr>
              <w:t>评分中出现无证明资料或专家无法凭所提供资料判断是否得分的情况，一律作不得分处理。</w:t>
            </w:r>
          </w:p>
        </w:tc>
      </w:tr>
      <w:tr w14:paraId="5EC5C0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noWrap w:val="0"/>
            <w:vAlign w:val="center"/>
          </w:tcPr>
          <w:p w14:paraId="4C32C412">
            <w:pPr>
              <w:spacing w:line="300" w:lineRule="auto"/>
              <w:jc w:val="center"/>
              <w:rPr>
                <w:rFonts w:ascii="宋体" w:eastAsia="宋体"/>
                <w:b/>
                <w:bCs/>
                <w:color w:val="auto"/>
                <w:sz w:val="24"/>
                <w:szCs w:val="18"/>
                <w:highlight w:val="none"/>
              </w:rPr>
            </w:pP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3FA4B7E8">
            <w:pPr>
              <w:widowControl/>
              <w:wordWrap w:val="0"/>
              <w:spacing w:line="300" w:lineRule="auto"/>
              <w:jc w:val="center"/>
              <w:textAlignment w:val="top"/>
              <w:rPr>
                <w:rFonts w:hint="eastAsia" w:ascii="宋体" w:hAnsi="宋体" w:eastAsia="宋体" w:cs="宋体"/>
                <w:color w:val="auto"/>
                <w:kern w:val="0"/>
                <w:sz w:val="24"/>
                <w:szCs w:val="18"/>
                <w:highlight w:val="none"/>
                <w:lang w:bidi="ar"/>
              </w:rPr>
            </w:pPr>
            <w:r>
              <w:rPr>
                <w:rFonts w:hint="eastAsia" w:ascii="宋体" w:hAnsi="宋体" w:eastAsia="宋体" w:cs="宋体"/>
                <w:color w:val="auto"/>
                <w:kern w:val="0"/>
                <w:sz w:val="24"/>
                <w:szCs w:val="18"/>
                <w:highlight w:val="none"/>
                <w:lang w:bidi="ar"/>
              </w:rPr>
              <w:t>3</w:t>
            </w:r>
          </w:p>
        </w:tc>
        <w:tc>
          <w:tcPr>
            <w:tcW w:w="1613" w:type="dxa"/>
            <w:tcBorders>
              <w:top w:val="single" w:color="000000" w:sz="8" w:space="0"/>
              <w:left w:val="single" w:color="000000" w:sz="8" w:space="0"/>
              <w:bottom w:val="single" w:color="000000" w:sz="8" w:space="0"/>
              <w:right w:val="single" w:color="000000" w:sz="8" w:space="0"/>
            </w:tcBorders>
            <w:noWrap w:val="0"/>
            <w:vAlign w:val="center"/>
          </w:tcPr>
          <w:p w14:paraId="174DDB77">
            <w:pPr>
              <w:pStyle w:val="11"/>
              <w:rPr>
                <w:rFonts w:hint="eastAsia"/>
                <w:color w:val="auto"/>
                <w:sz w:val="24"/>
                <w:szCs w:val="18"/>
                <w:highlight w:val="none"/>
              </w:rPr>
            </w:pPr>
            <w:r>
              <w:rPr>
                <w:rFonts w:hint="eastAsia" w:ascii="楷体" w:hAnsi="楷体" w:eastAsia="宋体"/>
                <w:sz w:val="24"/>
                <w:szCs w:val="21"/>
              </w:rPr>
              <w:t>拟安排的项目负责人情况（仅限一人）</w:t>
            </w:r>
          </w:p>
        </w:tc>
        <w:tc>
          <w:tcPr>
            <w:tcW w:w="736" w:type="dxa"/>
            <w:tcBorders>
              <w:top w:val="single" w:color="000000" w:sz="8" w:space="0"/>
              <w:left w:val="single" w:color="000000" w:sz="8" w:space="0"/>
              <w:bottom w:val="single" w:color="000000" w:sz="8" w:space="0"/>
              <w:right w:val="single" w:color="000000" w:sz="8" w:space="0"/>
            </w:tcBorders>
            <w:noWrap w:val="0"/>
            <w:vAlign w:val="center"/>
          </w:tcPr>
          <w:p w14:paraId="04A46BF7">
            <w:pPr>
              <w:pStyle w:val="11"/>
              <w:jc w:val="center"/>
              <w:rPr>
                <w:rFonts w:hint="default" w:eastAsia="宋体"/>
                <w:bCs/>
                <w:color w:val="auto"/>
                <w:sz w:val="24"/>
                <w:szCs w:val="15"/>
                <w:highlight w:val="none"/>
                <w:lang w:val="en-US" w:eastAsia="zh-CN"/>
              </w:rPr>
            </w:pPr>
            <w:r>
              <w:rPr>
                <w:rFonts w:hint="eastAsia" w:ascii="楷体" w:hAnsi="楷体" w:eastAsia="宋体"/>
                <w:sz w:val="24"/>
                <w:szCs w:val="21"/>
              </w:rPr>
              <w:t>8</w:t>
            </w:r>
          </w:p>
        </w:tc>
        <w:tc>
          <w:tcPr>
            <w:tcW w:w="5367" w:type="dxa"/>
            <w:tcBorders>
              <w:top w:val="single" w:color="000000" w:sz="8" w:space="0"/>
              <w:left w:val="single" w:color="000000" w:sz="8" w:space="0"/>
              <w:bottom w:val="single" w:color="000000" w:sz="8" w:space="0"/>
              <w:right w:val="single" w:color="000000" w:sz="8" w:space="0"/>
            </w:tcBorders>
            <w:noWrap w:val="0"/>
            <w:vAlign w:val="center"/>
          </w:tcPr>
          <w:p w14:paraId="21182329">
            <w:pPr>
              <w:pStyle w:val="11"/>
              <w:rPr>
                <w:rFonts w:hint="eastAsia" w:ascii="楷体" w:hAnsi="楷体" w:eastAsia="宋体"/>
                <w:sz w:val="24"/>
                <w:szCs w:val="21"/>
              </w:rPr>
            </w:pPr>
            <w:r>
              <w:rPr>
                <w:rFonts w:hint="eastAsia" w:ascii="楷体" w:hAnsi="楷体" w:eastAsia="宋体"/>
                <w:sz w:val="24"/>
                <w:szCs w:val="21"/>
              </w:rPr>
              <w:t>评分内容：</w:t>
            </w:r>
          </w:p>
          <w:p w14:paraId="74AF02B0">
            <w:pPr>
              <w:pStyle w:val="11"/>
              <w:rPr>
                <w:rFonts w:hint="eastAsia" w:ascii="楷体" w:hAnsi="楷体" w:eastAsia="宋体"/>
                <w:sz w:val="24"/>
                <w:szCs w:val="21"/>
              </w:rPr>
            </w:pPr>
            <w:r>
              <w:rPr>
                <w:rFonts w:hint="eastAsia" w:ascii="楷体" w:hAnsi="楷体" w:eastAsia="宋体"/>
                <w:sz w:val="24"/>
                <w:szCs w:val="21"/>
              </w:rPr>
              <w:t>1、具有项目管理类相关专业硕士及以上学位得</w:t>
            </w:r>
            <w:r>
              <w:rPr>
                <w:rFonts w:hint="eastAsia" w:ascii="楷体" w:hAnsi="楷体"/>
                <w:sz w:val="24"/>
                <w:szCs w:val="21"/>
                <w:lang w:val="en-US" w:eastAsia="zh-CN"/>
              </w:rPr>
              <w:t>3</w:t>
            </w:r>
            <w:r>
              <w:rPr>
                <w:rFonts w:hint="eastAsia" w:ascii="楷体" w:hAnsi="楷体" w:eastAsia="宋体"/>
                <w:sz w:val="24"/>
                <w:szCs w:val="21"/>
              </w:rPr>
              <w:t>分；学士学位得</w:t>
            </w:r>
            <w:r>
              <w:rPr>
                <w:rFonts w:hint="eastAsia" w:ascii="楷体" w:hAnsi="楷体"/>
                <w:sz w:val="24"/>
                <w:szCs w:val="21"/>
                <w:lang w:val="en-US" w:eastAsia="zh-CN"/>
              </w:rPr>
              <w:t>1.5</w:t>
            </w:r>
            <w:r>
              <w:rPr>
                <w:rFonts w:hint="eastAsia" w:ascii="楷体" w:hAnsi="楷体" w:eastAsia="宋体"/>
                <w:sz w:val="24"/>
                <w:szCs w:val="21"/>
              </w:rPr>
              <w:t>分。</w:t>
            </w:r>
          </w:p>
          <w:p w14:paraId="4C26DA23">
            <w:pPr>
              <w:pStyle w:val="11"/>
              <w:rPr>
                <w:rFonts w:hint="eastAsia" w:ascii="楷体" w:hAnsi="楷体" w:eastAsia="宋体"/>
                <w:sz w:val="24"/>
                <w:szCs w:val="21"/>
              </w:rPr>
            </w:pPr>
            <w:r>
              <w:rPr>
                <w:rFonts w:hint="eastAsia" w:ascii="楷体" w:hAnsi="楷体" w:eastAsia="宋体"/>
                <w:sz w:val="24"/>
                <w:szCs w:val="21"/>
              </w:rPr>
              <w:t>2、具有高级项目管理专业人员（CSPM-4）证书得</w:t>
            </w:r>
            <w:r>
              <w:rPr>
                <w:rFonts w:hint="eastAsia" w:ascii="楷体" w:hAnsi="楷体"/>
                <w:sz w:val="24"/>
                <w:szCs w:val="21"/>
                <w:lang w:eastAsia="zh-CN"/>
              </w:rPr>
              <w:t>3</w:t>
            </w:r>
            <w:r>
              <w:rPr>
                <w:rFonts w:hint="eastAsia" w:ascii="楷体" w:hAnsi="楷体" w:eastAsia="宋体"/>
                <w:sz w:val="24"/>
                <w:szCs w:val="21"/>
              </w:rPr>
              <w:t>分，</w:t>
            </w:r>
            <w:r>
              <w:rPr>
                <w:rFonts w:ascii="楷体" w:hAnsi="楷体" w:eastAsia="宋体"/>
                <w:sz w:val="24"/>
                <w:szCs w:val="21"/>
              </w:rPr>
              <w:t>中级项目管理专业人员</w:t>
            </w:r>
            <w:r>
              <w:rPr>
                <w:rFonts w:hint="eastAsia" w:ascii="楷体" w:hAnsi="楷体" w:eastAsia="宋体"/>
                <w:sz w:val="24"/>
                <w:szCs w:val="21"/>
              </w:rPr>
              <w:t>（CSPM-3）证书得2分，初</w:t>
            </w:r>
            <w:r>
              <w:rPr>
                <w:rFonts w:ascii="楷体" w:hAnsi="楷体" w:eastAsia="宋体"/>
                <w:sz w:val="24"/>
                <w:szCs w:val="21"/>
              </w:rPr>
              <w:t>级项目管理专业人员</w:t>
            </w:r>
            <w:r>
              <w:rPr>
                <w:rFonts w:hint="eastAsia" w:ascii="楷体" w:hAnsi="楷体" w:eastAsia="宋体"/>
                <w:sz w:val="24"/>
                <w:szCs w:val="21"/>
              </w:rPr>
              <w:t>（CSPM-2）证书得1分。</w:t>
            </w:r>
          </w:p>
          <w:p w14:paraId="4E49EF7E">
            <w:pPr>
              <w:pStyle w:val="11"/>
              <w:rPr>
                <w:rFonts w:hint="default" w:ascii="楷体" w:hAnsi="楷体" w:eastAsia="宋体"/>
                <w:sz w:val="24"/>
                <w:szCs w:val="21"/>
              </w:rPr>
            </w:pPr>
            <w:r>
              <w:rPr>
                <w:rFonts w:hint="eastAsia" w:ascii="楷体" w:hAnsi="楷体"/>
                <w:sz w:val="24"/>
                <w:szCs w:val="21"/>
                <w:lang w:val="en-US" w:eastAsia="zh-CN"/>
              </w:rPr>
              <w:t>3、具有人力资源和社会保障部、工业和信息化部</w:t>
            </w:r>
            <w:r>
              <w:rPr>
                <w:rFonts w:hint="eastAsia" w:ascii="楷体" w:hAnsi="楷体" w:eastAsia="宋体"/>
                <w:sz w:val="24"/>
                <w:szCs w:val="21"/>
              </w:rPr>
              <w:t>颁发</w:t>
            </w:r>
            <w:r>
              <w:rPr>
                <w:rFonts w:hint="eastAsia" w:ascii="楷体" w:hAnsi="楷体"/>
                <w:sz w:val="24"/>
                <w:szCs w:val="21"/>
                <w:lang w:val="en-US" w:eastAsia="zh-CN"/>
              </w:rPr>
              <w:t>的高级信息系统项目管理师证书得2分</w:t>
            </w:r>
          </w:p>
          <w:p w14:paraId="161174C4">
            <w:pPr>
              <w:pStyle w:val="11"/>
              <w:rPr>
                <w:rFonts w:hint="eastAsia" w:ascii="楷体" w:hAnsi="楷体" w:eastAsia="宋体"/>
                <w:sz w:val="24"/>
                <w:szCs w:val="21"/>
              </w:rPr>
            </w:pPr>
            <w:r>
              <w:rPr>
                <w:rFonts w:hint="eastAsia" w:ascii="楷体" w:hAnsi="楷体" w:eastAsia="宋体"/>
                <w:sz w:val="24"/>
                <w:szCs w:val="21"/>
              </w:rPr>
              <w:t>本项最高得8分。</w:t>
            </w:r>
          </w:p>
          <w:p w14:paraId="1E1DBC3F">
            <w:pPr>
              <w:pStyle w:val="11"/>
              <w:rPr>
                <w:rFonts w:hint="eastAsia" w:ascii="楷体" w:hAnsi="楷体" w:eastAsia="宋体"/>
                <w:sz w:val="24"/>
                <w:szCs w:val="21"/>
              </w:rPr>
            </w:pPr>
            <w:r>
              <w:rPr>
                <w:rFonts w:hint="eastAsia" w:ascii="楷体" w:hAnsi="楷体" w:eastAsia="宋体"/>
                <w:sz w:val="24"/>
                <w:szCs w:val="21"/>
              </w:rPr>
              <w:t>评分依据：</w:t>
            </w:r>
          </w:p>
          <w:p w14:paraId="13E3EFB6">
            <w:pPr>
              <w:pStyle w:val="11"/>
              <w:rPr>
                <w:rFonts w:hint="eastAsia" w:ascii="楷体" w:hAnsi="楷体" w:eastAsia="宋体"/>
                <w:sz w:val="24"/>
                <w:szCs w:val="21"/>
              </w:rPr>
            </w:pPr>
            <w:r>
              <w:rPr>
                <w:rFonts w:hint="eastAsia" w:ascii="楷体" w:hAnsi="楷体" w:eastAsia="宋体"/>
                <w:sz w:val="24"/>
                <w:szCs w:val="21"/>
              </w:rPr>
              <w:t>1.提供通过投标单位缴纳的开标日前近三个月的个人社保证明（社保资料必须至少显示缴交养老保险信息，未显示该信息的该社保资料不符合要求），如开标日前近一个月的社保证明因社保部门原因暂时无法提供，可往前顺延一个月；投标人如成立不足一个月的，无需提供社保证明，以投标人营业执照成立时间为准，提供承诺函（格式自拟）说明该员工为自有员工。</w:t>
            </w:r>
          </w:p>
          <w:p w14:paraId="772B1BA0">
            <w:pPr>
              <w:pStyle w:val="11"/>
              <w:rPr>
                <w:rFonts w:hint="eastAsia" w:ascii="楷体" w:hAnsi="楷体" w:eastAsia="宋体"/>
                <w:sz w:val="24"/>
                <w:szCs w:val="21"/>
              </w:rPr>
            </w:pPr>
            <w:r>
              <w:rPr>
                <w:rFonts w:hint="eastAsia" w:ascii="楷体" w:hAnsi="楷体" w:eastAsia="宋体"/>
                <w:sz w:val="24"/>
                <w:szCs w:val="21"/>
              </w:rPr>
              <w:t>2</w:t>
            </w:r>
            <w:r>
              <w:rPr>
                <w:rFonts w:hint="eastAsia" w:ascii="楷体" w:hAnsi="楷体"/>
                <w:sz w:val="24"/>
                <w:szCs w:val="21"/>
                <w:lang w:val="en-US" w:eastAsia="zh-CN"/>
              </w:rPr>
              <w:t>.</w:t>
            </w:r>
            <w:r>
              <w:rPr>
                <w:rFonts w:hint="eastAsia" w:ascii="楷体" w:hAnsi="楷体" w:eastAsia="宋体"/>
                <w:sz w:val="24"/>
                <w:szCs w:val="21"/>
              </w:rPr>
              <w:t>提供投标单位与人员的劳动合同。</w:t>
            </w:r>
          </w:p>
          <w:p w14:paraId="06DA1E24">
            <w:pPr>
              <w:pStyle w:val="11"/>
              <w:rPr>
                <w:rFonts w:hint="eastAsia" w:ascii="楷体" w:hAnsi="楷体" w:eastAsia="宋体"/>
                <w:sz w:val="24"/>
                <w:szCs w:val="21"/>
              </w:rPr>
            </w:pPr>
            <w:r>
              <w:rPr>
                <w:rFonts w:hint="eastAsia" w:ascii="楷体" w:hAnsi="楷体" w:eastAsia="宋体"/>
                <w:sz w:val="24"/>
                <w:szCs w:val="21"/>
              </w:rPr>
              <w:t>3.学位需提供学位证书以及学信网查询记录，原件备查。学信网无法查询的，提供其他佐证材料（如毕业院校、人社部门等颁发机构或监管机构等单位出具的证明）作为得分依据，留学归国人员如无法提供学信网查询记录截图，提供国（境）外学历证书扫描件（以及中文翻译件）和教育部留学服务中心出具的国外学历学位认证书扫描件【或教育部留学服务中心网站（http://zwfw.cscse.edu.cn/）在线查询截图】也予以认可。</w:t>
            </w:r>
          </w:p>
          <w:p w14:paraId="5C1B4D11">
            <w:pPr>
              <w:pStyle w:val="11"/>
              <w:rPr>
                <w:rFonts w:hint="default" w:eastAsia="宋体"/>
                <w:color w:val="auto"/>
                <w:sz w:val="24"/>
                <w:szCs w:val="15"/>
                <w:highlight w:val="none"/>
                <w:lang w:val="en-US" w:eastAsia="zh-CN"/>
              </w:rPr>
            </w:pPr>
            <w:r>
              <w:rPr>
                <w:rFonts w:hint="eastAsia" w:ascii="楷体" w:hAnsi="楷体" w:eastAsia="宋体"/>
                <w:sz w:val="24"/>
                <w:szCs w:val="21"/>
              </w:rPr>
              <w:t>4.以上资料均要求提供扫描件复印件（或官方网站截图）加盖投标人公章，原件备查。评分中出现无证明资料或专家无法凭所提供资料判断是否得分的情况，</w:t>
            </w:r>
            <w:r>
              <w:rPr>
                <w:rFonts w:ascii="楷体" w:hAnsi="楷体" w:eastAsia="宋体"/>
                <w:sz w:val="24"/>
                <w:szCs w:val="21"/>
              </w:rPr>
              <w:t>一律作不得分处理。</w:t>
            </w:r>
          </w:p>
        </w:tc>
      </w:tr>
      <w:tr w14:paraId="6156C3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noWrap w:val="0"/>
            <w:vAlign w:val="center"/>
          </w:tcPr>
          <w:p w14:paraId="7E423283">
            <w:pPr>
              <w:spacing w:line="300" w:lineRule="auto"/>
              <w:jc w:val="center"/>
              <w:rPr>
                <w:rFonts w:ascii="宋体" w:eastAsia="宋体"/>
                <w:b/>
                <w:bCs/>
                <w:color w:val="auto"/>
                <w:sz w:val="24"/>
                <w:szCs w:val="18"/>
                <w:highlight w:val="none"/>
              </w:rPr>
            </w:pP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1D34338A">
            <w:pPr>
              <w:widowControl/>
              <w:wordWrap w:val="0"/>
              <w:spacing w:line="300" w:lineRule="auto"/>
              <w:jc w:val="center"/>
              <w:textAlignment w:val="top"/>
              <w:rPr>
                <w:rFonts w:hint="eastAsia" w:ascii="宋体" w:hAnsi="宋体" w:eastAsia="宋体" w:cs="宋体"/>
                <w:color w:val="auto"/>
                <w:kern w:val="0"/>
                <w:sz w:val="24"/>
                <w:szCs w:val="18"/>
                <w:highlight w:val="none"/>
                <w:lang w:val="en-US" w:eastAsia="zh-CN" w:bidi="ar"/>
              </w:rPr>
            </w:pPr>
          </w:p>
        </w:tc>
        <w:tc>
          <w:tcPr>
            <w:tcW w:w="1613" w:type="dxa"/>
            <w:tcBorders>
              <w:top w:val="single" w:color="000000" w:sz="8" w:space="0"/>
              <w:left w:val="single" w:color="000000" w:sz="8" w:space="0"/>
              <w:bottom w:val="single" w:color="000000" w:sz="8" w:space="0"/>
              <w:right w:val="single" w:color="000000" w:sz="8" w:space="0"/>
            </w:tcBorders>
            <w:noWrap w:val="0"/>
            <w:vAlign w:val="center"/>
          </w:tcPr>
          <w:p w14:paraId="01867D6B">
            <w:pPr>
              <w:pStyle w:val="11"/>
              <w:rPr>
                <w:rFonts w:hint="eastAsia"/>
                <w:color w:val="auto"/>
                <w:sz w:val="24"/>
                <w:szCs w:val="18"/>
                <w:highlight w:val="none"/>
              </w:rPr>
            </w:pPr>
            <w:r>
              <w:rPr>
                <w:rFonts w:hint="eastAsia" w:ascii="楷体" w:hAnsi="楷体" w:eastAsia="宋体"/>
                <w:sz w:val="24"/>
                <w:szCs w:val="21"/>
              </w:rPr>
              <w:t>拟安排的项目主要团队成员（主要技术人员）情况（项目负责人除外）</w:t>
            </w:r>
          </w:p>
        </w:tc>
        <w:tc>
          <w:tcPr>
            <w:tcW w:w="736" w:type="dxa"/>
            <w:tcBorders>
              <w:top w:val="single" w:color="000000" w:sz="8" w:space="0"/>
              <w:left w:val="single" w:color="000000" w:sz="8" w:space="0"/>
              <w:bottom w:val="single" w:color="000000" w:sz="8" w:space="0"/>
              <w:right w:val="single" w:color="000000" w:sz="8" w:space="0"/>
            </w:tcBorders>
            <w:noWrap w:val="0"/>
            <w:vAlign w:val="center"/>
          </w:tcPr>
          <w:p w14:paraId="483C4145">
            <w:pPr>
              <w:pStyle w:val="11"/>
              <w:jc w:val="center"/>
              <w:rPr>
                <w:rFonts w:hint="eastAsia" w:ascii="楷体" w:hAnsi="楷体" w:eastAsia="宋体"/>
                <w:sz w:val="24"/>
                <w:szCs w:val="21"/>
              </w:rPr>
            </w:pPr>
            <w:r>
              <w:rPr>
                <w:rFonts w:hint="eastAsia" w:ascii="楷体" w:hAnsi="楷体" w:eastAsia="宋体"/>
                <w:sz w:val="24"/>
                <w:szCs w:val="21"/>
              </w:rPr>
              <w:t>15</w:t>
            </w:r>
          </w:p>
        </w:tc>
        <w:tc>
          <w:tcPr>
            <w:tcW w:w="5367" w:type="dxa"/>
            <w:tcBorders>
              <w:top w:val="single" w:color="000000" w:sz="8" w:space="0"/>
              <w:left w:val="single" w:color="000000" w:sz="8" w:space="0"/>
              <w:bottom w:val="single" w:color="000000" w:sz="8" w:space="0"/>
              <w:right w:val="single" w:color="000000" w:sz="8" w:space="0"/>
            </w:tcBorders>
            <w:noWrap w:val="0"/>
            <w:vAlign w:val="center"/>
          </w:tcPr>
          <w:p w14:paraId="7C85C7D2">
            <w:pPr>
              <w:pStyle w:val="11"/>
              <w:rPr>
                <w:rFonts w:hint="eastAsia" w:ascii="楷体" w:hAnsi="楷体" w:eastAsia="宋体"/>
                <w:sz w:val="24"/>
                <w:szCs w:val="21"/>
              </w:rPr>
            </w:pPr>
            <w:r>
              <w:rPr>
                <w:rFonts w:hint="eastAsia" w:ascii="楷体" w:hAnsi="楷体" w:eastAsia="宋体"/>
                <w:sz w:val="24"/>
                <w:szCs w:val="21"/>
              </w:rPr>
              <w:t>评分内容：</w:t>
            </w:r>
          </w:p>
          <w:p w14:paraId="15C2717B">
            <w:pPr>
              <w:pStyle w:val="11"/>
              <w:rPr>
                <w:rFonts w:hint="eastAsia" w:ascii="楷体" w:hAnsi="楷体" w:eastAsia="宋体"/>
                <w:sz w:val="24"/>
                <w:szCs w:val="21"/>
              </w:rPr>
            </w:pPr>
            <w:r>
              <w:rPr>
                <w:rFonts w:hint="eastAsia" w:ascii="楷体" w:hAnsi="楷体" w:eastAsia="宋体"/>
                <w:sz w:val="24"/>
                <w:szCs w:val="21"/>
              </w:rPr>
              <w:t>拟安排的项目主要团队成员（项目负责人除外）不少于项目需求人数，其中：</w:t>
            </w:r>
          </w:p>
          <w:p w14:paraId="5F373990">
            <w:pPr>
              <w:pStyle w:val="11"/>
              <w:rPr>
                <w:rFonts w:hint="eastAsia" w:ascii="楷体" w:hAnsi="楷体" w:eastAsia="宋体"/>
                <w:sz w:val="24"/>
                <w:szCs w:val="21"/>
              </w:rPr>
            </w:pPr>
            <w:r>
              <w:rPr>
                <w:rFonts w:hint="eastAsia" w:ascii="楷体" w:hAnsi="楷体" w:eastAsia="宋体"/>
                <w:sz w:val="24"/>
                <w:szCs w:val="21"/>
              </w:rPr>
              <w:t>1、至少</w:t>
            </w:r>
            <w:r>
              <w:rPr>
                <w:rFonts w:hint="eastAsia" w:ascii="楷体" w:hAnsi="楷体"/>
                <w:sz w:val="24"/>
                <w:szCs w:val="21"/>
                <w:lang w:eastAsia="zh-CN"/>
              </w:rPr>
              <w:t>1</w:t>
            </w:r>
            <w:r>
              <w:rPr>
                <w:rFonts w:hint="eastAsia" w:ascii="楷体" w:hAnsi="楷体" w:eastAsia="宋体"/>
                <w:sz w:val="24"/>
                <w:szCs w:val="21"/>
              </w:rPr>
              <w:t>人持有工业和信息化部教育与考试中心颁发</w:t>
            </w:r>
            <w:r>
              <w:rPr>
                <w:rFonts w:hint="eastAsia" w:ascii="楷体" w:hAnsi="楷体"/>
                <w:sz w:val="24"/>
                <w:szCs w:val="21"/>
                <w:lang w:val="en-US" w:eastAsia="zh-CN"/>
              </w:rPr>
              <w:t>的</w:t>
            </w:r>
            <w:r>
              <w:rPr>
                <w:rFonts w:hint="eastAsia" w:ascii="楷体" w:hAnsi="楷体" w:eastAsia="宋体"/>
                <w:sz w:val="24"/>
                <w:szCs w:val="21"/>
              </w:rPr>
              <w:t>软件工程师高级证书，每个证书得分</w:t>
            </w:r>
            <w:r>
              <w:rPr>
                <w:rFonts w:hint="eastAsia" w:ascii="楷体" w:hAnsi="楷体"/>
                <w:sz w:val="24"/>
                <w:szCs w:val="21"/>
                <w:lang w:val="en-US" w:eastAsia="zh-CN"/>
              </w:rPr>
              <w:t>2.5</w:t>
            </w:r>
            <w:r>
              <w:rPr>
                <w:rFonts w:hint="eastAsia" w:ascii="楷体" w:hAnsi="楷体" w:eastAsia="宋体"/>
                <w:sz w:val="24"/>
                <w:szCs w:val="21"/>
              </w:rPr>
              <w:t>分，满分</w:t>
            </w:r>
            <w:r>
              <w:rPr>
                <w:rFonts w:hint="eastAsia" w:ascii="楷体" w:hAnsi="楷体"/>
                <w:sz w:val="24"/>
                <w:szCs w:val="21"/>
                <w:lang w:eastAsia="zh-CN"/>
              </w:rPr>
              <w:t>2.5</w:t>
            </w:r>
            <w:r>
              <w:rPr>
                <w:rFonts w:hint="eastAsia" w:ascii="楷体" w:hAnsi="楷体" w:eastAsia="宋体"/>
                <w:sz w:val="24"/>
                <w:szCs w:val="21"/>
              </w:rPr>
              <w:t>分；</w:t>
            </w:r>
          </w:p>
          <w:p w14:paraId="3DFF2031">
            <w:pPr>
              <w:pStyle w:val="11"/>
              <w:rPr>
                <w:rFonts w:hint="eastAsia" w:ascii="楷体" w:hAnsi="楷体" w:eastAsia="宋体"/>
                <w:sz w:val="24"/>
                <w:szCs w:val="21"/>
              </w:rPr>
            </w:pPr>
            <w:r>
              <w:rPr>
                <w:rFonts w:hint="eastAsia" w:ascii="楷体" w:hAnsi="楷体" w:eastAsia="宋体"/>
                <w:sz w:val="24"/>
                <w:szCs w:val="21"/>
              </w:rPr>
              <w:t>2、至少1人持有工业和信息化部教育与考试中心颁发</w:t>
            </w:r>
            <w:r>
              <w:rPr>
                <w:rFonts w:hint="eastAsia" w:ascii="楷体" w:hAnsi="楷体"/>
                <w:sz w:val="24"/>
                <w:szCs w:val="21"/>
                <w:lang w:val="en-US" w:eastAsia="zh-CN"/>
              </w:rPr>
              <w:t>的信息安全管理（高级）</w:t>
            </w:r>
            <w:r>
              <w:rPr>
                <w:rFonts w:hint="eastAsia" w:ascii="楷体" w:hAnsi="楷体" w:eastAsia="宋体"/>
                <w:sz w:val="24"/>
                <w:szCs w:val="21"/>
              </w:rPr>
              <w:t>证书，每个证书得分</w:t>
            </w:r>
            <w:r>
              <w:rPr>
                <w:rFonts w:hint="eastAsia" w:ascii="楷体" w:hAnsi="楷体"/>
                <w:sz w:val="24"/>
                <w:szCs w:val="21"/>
                <w:lang w:eastAsia="zh-CN"/>
              </w:rPr>
              <w:t>2.5</w:t>
            </w:r>
            <w:r>
              <w:rPr>
                <w:rFonts w:hint="eastAsia" w:ascii="楷体" w:hAnsi="楷体" w:eastAsia="宋体"/>
                <w:sz w:val="24"/>
                <w:szCs w:val="21"/>
              </w:rPr>
              <w:t>分，满分</w:t>
            </w:r>
            <w:r>
              <w:rPr>
                <w:rFonts w:hint="eastAsia" w:ascii="楷体" w:hAnsi="楷体"/>
                <w:sz w:val="24"/>
                <w:szCs w:val="21"/>
                <w:lang w:eastAsia="zh-CN"/>
              </w:rPr>
              <w:t>2.5</w:t>
            </w:r>
            <w:r>
              <w:rPr>
                <w:rFonts w:hint="eastAsia" w:ascii="楷体" w:hAnsi="楷体" w:eastAsia="宋体"/>
                <w:sz w:val="24"/>
                <w:szCs w:val="21"/>
              </w:rPr>
              <w:t>分</w:t>
            </w:r>
            <w:r>
              <w:rPr>
                <w:rFonts w:hint="eastAsia" w:ascii="楷体" w:hAnsi="楷体"/>
                <w:sz w:val="24"/>
                <w:szCs w:val="21"/>
                <w:lang w:eastAsia="zh-CN"/>
              </w:rPr>
              <w:t>；</w:t>
            </w:r>
          </w:p>
          <w:p w14:paraId="1B4E5922">
            <w:pPr>
              <w:pStyle w:val="11"/>
              <w:rPr>
                <w:rFonts w:hint="eastAsia" w:ascii="楷体" w:hAnsi="楷体" w:eastAsia="宋体"/>
                <w:sz w:val="24"/>
                <w:szCs w:val="21"/>
                <w:lang w:eastAsia="zh-CN"/>
              </w:rPr>
            </w:pPr>
            <w:r>
              <w:rPr>
                <w:rFonts w:hint="eastAsia" w:ascii="楷体" w:hAnsi="楷体" w:eastAsia="宋体"/>
                <w:sz w:val="24"/>
                <w:szCs w:val="21"/>
              </w:rPr>
              <w:t>3、至少1人持有工业和信息化部教育与考试中心颁发</w:t>
            </w:r>
            <w:r>
              <w:rPr>
                <w:rFonts w:hint="eastAsia" w:ascii="楷体" w:hAnsi="楷体"/>
                <w:sz w:val="24"/>
                <w:szCs w:val="21"/>
                <w:lang w:val="en-US" w:eastAsia="zh-CN"/>
              </w:rPr>
              <w:t>的</w:t>
            </w:r>
            <w:r>
              <w:rPr>
                <w:rFonts w:hint="eastAsia" w:ascii="楷体" w:hAnsi="楷体" w:eastAsia="宋体"/>
                <w:sz w:val="24"/>
                <w:szCs w:val="21"/>
              </w:rPr>
              <w:t>大数据分析师证书，每个证书得分</w:t>
            </w:r>
            <w:r>
              <w:rPr>
                <w:rFonts w:hint="eastAsia" w:ascii="楷体" w:hAnsi="楷体"/>
                <w:sz w:val="24"/>
                <w:szCs w:val="21"/>
                <w:lang w:eastAsia="zh-CN"/>
              </w:rPr>
              <w:t>2.5</w:t>
            </w:r>
            <w:r>
              <w:rPr>
                <w:rFonts w:hint="eastAsia" w:ascii="楷体" w:hAnsi="楷体" w:eastAsia="宋体"/>
                <w:sz w:val="24"/>
                <w:szCs w:val="21"/>
              </w:rPr>
              <w:t>分，满分</w:t>
            </w:r>
            <w:r>
              <w:rPr>
                <w:rFonts w:hint="eastAsia" w:ascii="楷体" w:hAnsi="楷体"/>
                <w:sz w:val="24"/>
                <w:szCs w:val="21"/>
                <w:lang w:eastAsia="zh-CN"/>
              </w:rPr>
              <w:t>2.5</w:t>
            </w:r>
            <w:r>
              <w:rPr>
                <w:rFonts w:hint="eastAsia" w:ascii="楷体" w:hAnsi="楷体" w:eastAsia="宋体"/>
                <w:sz w:val="24"/>
                <w:szCs w:val="21"/>
              </w:rPr>
              <w:t>分</w:t>
            </w:r>
            <w:r>
              <w:rPr>
                <w:rFonts w:hint="eastAsia" w:ascii="楷体" w:hAnsi="楷体"/>
                <w:sz w:val="24"/>
                <w:szCs w:val="21"/>
                <w:lang w:eastAsia="zh-CN"/>
              </w:rPr>
              <w:t>；</w:t>
            </w:r>
          </w:p>
          <w:p w14:paraId="453DF1E9">
            <w:pPr>
              <w:pStyle w:val="11"/>
              <w:rPr>
                <w:rFonts w:hint="eastAsia" w:ascii="楷体" w:hAnsi="楷体" w:eastAsia="宋体"/>
                <w:sz w:val="24"/>
                <w:szCs w:val="21"/>
                <w:lang w:eastAsia="zh-CN"/>
              </w:rPr>
            </w:pPr>
            <w:r>
              <w:rPr>
                <w:rFonts w:hint="eastAsia" w:ascii="楷体" w:hAnsi="楷体"/>
                <w:sz w:val="24"/>
                <w:szCs w:val="21"/>
                <w:lang w:val="en-US" w:eastAsia="zh-CN"/>
              </w:rPr>
              <w:t>4、</w:t>
            </w:r>
            <w:r>
              <w:rPr>
                <w:rFonts w:hint="eastAsia" w:ascii="楷体" w:hAnsi="楷体" w:eastAsia="宋体"/>
                <w:sz w:val="24"/>
                <w:szCs w:val="21"/>
              </w:rPr>
              <w:t>至少1人持有工业和信息化部教育与考试中心颁发</w:t>
            </w:r>
            <w:r>
              <w:rPr>
                <w:rFonts w:hint="eastAsia" w:ascii="楷体" w:hAnsi="楷体"/>
                <w:sz w:val="24"/>
                <w:szCs w:val="21"/>
                <w:lang w:val="en-US" w:eastAsia="zh-CN"/>
              </w:rPr>
              <w:t>的网络工程师高级证书，</w:t>
            </w:r>
            <w:r>
              <w:rPr>
                <w:rFonts w:hint="eastAsia" w:ascii="楷体" w:hAnsi="楷体" w:eastAsia="宋体"/>
                <w:sz w:val="24"/>
                <w:szCs w:val="21"/>
              </w:rPr>
              <w:t>每个证书得分</w:t>
            </w:r>
            <w:r>
              <w:rPr>
                <w:rFonts w:hint="eastAsia" w:ascii="楷体" w:hAnsi="楷体"/>
                <w:sz w:val="24"/>
                <w:szCs w:val="21"/>
                <w:lang w:eastAsia="zh-CN"/>
              </w:rPr>
              <w:t>2.5</w:t>
            </w:r>
            <w:r>
              <w:rPr>
                <w:rFonts w:hint="eastAsia" w:ascii="楷体" w:hAnsi="楷体" w:eastAsia="宋体"/>
                <w:sz w:val="24"/>
                <w:szCs w:val="21"/>
              </w:rPr>
              <w:t>分，满分</w:t>
            </w:r>
            <w:r>
              <w:rPr>
                <w:rFonts w:hint="eastAsia" w:ascii="楷体" w:hAnsi="楷体"/>
                <w:sz w:val="24"/>
                <w:szCs w:val="21"/>
                <w:lang w:eastAsia="zh-CN"/>
              </w:rPr>
              <w:t>2.5</w:t>
            </w:r>
            <w:r>
              <w:rPr>
                <w:rFonts w:hint="eastAsia" w:ascii="楷体" w:hAnsi="楷体" w:eastAsia="宋体"/>
                <w:sz w:val="24"/>
                <w:szCs w:val="21"/>
              </w:rPr>
              <w:t>分</w:t>
            </w:r>
            <w:r>
              <w:rPr>
                <w:rFonts w:hint="eastAsia" w:ascii="楷体" w:hAnsi="楷体"/>
                <w:sz w:val="24"/>
                <w:szCs w:val="21"/>
                <w:lang w:eastAsia="zh-CN"/>
              </w:rPr>
              <w:t>；</w:t>
            </w:r>
          </w:p>
          <w:p w14:paraId="29083A37">
            <w:pPr>
              <w:pStyle w:val="11"/>
              <w:rPr>
                <w:rFonts w:hint="eastAsia" w:ascii="楷体" w:hAnsi="楷体" w:eastAsia="宋体"/>
                <w:sz w:val="24"/>
                <w:szCs w:val="21"/>
                <w:lang w:val="en-US" w:eastAsia="zh-CN"/>
              </w:rPr>
            </w:pPr>
            <w:r>
              <w:rPr>
                <w:rFonts w:hint="eastAsia" w:ascii="楷体" w:hAnsi="楷体"/>
                <w:sz w:val="24"/>
                <w:szCs w:val="21"/>
                <w:lang w:val="en-US" w:eastAsia="zh-CN"/>
              </w:rPr>
              <w:t>5、</w:t>
            </w:r>
            <w:r>
              <w:rPr>
                <w:rFonts w:hint="eastAsia" w:ascii="楷体" w:hAnsi="楷体" w:eastAsia="宋体"/>
                <w:sz w:val="24"/>
                <w:szCs w:val="21"/>
              </w:rPr>
              <w:t>至少1人持有工业和信息化部教育与考试中心颁发</w:t>
            </w:r>
            <w:r>
              <w:rPr>
                <w:rFonts w:hint="eastAsia" w:ascii="楷体" w:hAnsi="楷体"/>
                <w:sz w:val="24"/>
                <w:szCs w:val="21"/>
                <w:lang w:val="en-US" w:eastAsia="zh-CN"/>
              </w:rPr>
              <w:t>的数据库工程师高级证书，</w:t>
            </w:r>
            <w:r>
              <w:rPr>
                <w:rFonts w:hint="eastAsia" w:ascii="楷体" w:hAnsi="楷体" w:eastAsia="宋体"/>
                <w:sz w:val="24"/>
                <w:szCs w:val="21"/>
              </w:rPr>
              <w:t>每个证书得分</w:t>
            </w:r>
            <w:r>
              <w:rPr>
                <w:rFonts w:hint="eastAsia" w:ascii="楷体" w:hAnsi="楷体"/>
                <w:sz w:val="24"/>
                <w:szCs w:val="21"/>
                <w:lang w:eastAsia="zh-CN"/>
              </w:rPr>
              <w:t>2.5</w:t>
            </w:r>
            <w:r>
              <w:rPr>
                <w:rFonts w:hint="eastAsia" w:ascii="楷体" w:hAnsi="楷体" w:eastAsia="宋体"/>
                <w:sz w:val="24"/>
                <w:szCs w:val="21"/>
              </w:rPr>
              <w:t>分，满分</w:t>
            </w:r>
            <w:r>
              <w:rPr>
                <w:rFonts w:hint="eastAsia" w:ascii="楷体" w:hAnsi="楷体"/>
                <w:sz w:val="24"/>
                <w:szCs w:val="21"/>
                <w:lang w:eastAsia="zh-CN"/>
              </w:rPr>
              <w:t>2.5</w:t>
            </w:r>
            <w:r>
              <w:rPr>
                <w:rFonts w:hint="eastAsia" w:ascii="楷体" w:hAnsi="楷体" w:eastAsia="宋体"/>
                <w:sz w:val="24"/>
                <w:szCs w:val="21"/>
              </w:rPr>
              <w:t>分</w:t>
            </w:r>
            <w:r>
              <w:rPr>
                <w:rFonts w:hint="eastAsia" w:ascii="楷体" w:hAnsi="楷体"/>
                <w:sz w:val="24"/>
                <w:szCs w:val="21"/>
                <w:lang w:val="en-US" w:eastAsia="zh-CN"/>
              </w:rPr>
              <w:t>;</w:t>
            </w:r>
          </w:p>
          <w:p w14:paraId="72C342E5">
            <w:pPr>
              <w:pStyle w:val="11"/>
              <w:rPr>
                <w:rFonts w:hint="eastAsia" w:ascii="楷体" w:hAnsi="楷体" w:eastAsia="宋体"/>
                <w:sz w:val="24"/>
                <w:szCs w:val="21"/>
              </w:rPr>
            </w:pPr>
            <w:r>
              <w:rPr>
                <w:rFonts w:hint="eastAsia" w:ascii="楷体" w:hAnsi="楷体"/>
                <w:sz w:val="24"/>
                <w:szCs w:val="21"/>
                <w:lang w:val="en-US" w:eastAsia="zh-CN"/>
              </w:rPr>
              <w:t>6、</w:t>
            </w:r>
            <w:r>
              <w:rPr>
                <w:rFonts w:hint="eastAsia" w:ascii="楷体" w:hAnsi="楷体" w:eastAsia="宋体"/>
                <w:sz w:val="24"/>
                <w:szCs w:val="21"/>
              </w:rPr>
              <w:t>至少1人持有人力资源和社会保障部、工业和信息化部颁发</w:t>
            </w:r>
            <w:r>
              <w:rPr>
                <w:rFonts w:hint="eastAsia" w:ascii="楷体" w:hAnsi="楷体"/>
                <w:sz w:val="24"/>
                <w:szCs w:val="21"/>
                <w:lang w:val="en-US" w:eastAsia="zh-CN"/>
              </w:rPr>
              <w:t>的高级系统分析师证书，</w:t>
            </w:r>
            <w:r>
              <w:rPr>
                <w:rFonts w:hint="eastAsia" w:ascii="楷体" w:hAnsi="楷体" w:eastAsia="宋体"/>
                <w:sz w:val="24"/>
                <w:szCs w:val="21"/>
              </w:rPr>
              <w:t>每个证书得分</w:t>
            </w:r>
            <w:r>
              <w:rPr>
                <w:rFonts w:hint="eastAsia" w:ascii="楷体" w:hAnsi="楷体"/>
                <w:sz w:val="24"/>
                <w:szCs w:val="21"/>
                <w:lang w:eastAsia="zh-CN"/>
              </w:rPr>
              <w:t>2.5</w:t>
            </w:r>
            <w:r>
              <w:rPr>
                <w:rFonts w:hint="eastAsia" w:ascii="楷体" w:hAnsi="楷体" w:eastAsia="宋体"/>
                <w:sz w:val="24"/>
                <w:szCs w:val="21"/>
              </w:rPr>
              <w:t>分，满分</w:t>
            </w:r>
            <w:r>
              <w:rPr>
                <w:rFonts w:hint="eastAsia" w:ascii="楷体" w:hAnsi="楷体"/>
                <w:sz w:val="24"/>
                <w:szCs w:val="21"/>
                <w:lang w:eastAsia="zh-CN"/>
              </w:rPr>
              <w:t>2.5</w:t>
            </w:r>
            <w:r>
              <w:rPr>
                <w:rFonts w:hint="eastAsia" w:ascii="楷体" w:hAnsi="楷体" w:eastAsia="宋体"/>
                <w:sz w:val="24"/>
                <w:szCs w:val="21"/>
              </w:rPr>
              <w:t>分。</w:t>
            </w:r>
          </w:p>
          <w:p w14:paraId="12320538">
            <w:pPr>
              <w:pStyle w:val="11"/>
              <w:rPr>
                <w:rFonts w:hint="eastAsia" w:ascii="楷体" w:hAnsi="楷体" w:eastAsia="宋体"/>
                <w:sz w:val="24"/>
                <w:szCs w:val="21"/>
              </w:rPr>
            </w:pPr>
            <w:r>
              <w:rPr>
                <w:rFonts w:hint="eastAsia" w:ascii="楷体" w:hAnsi="楷体" w:eastAsia="宋体"/>
                <w:sz w:val="24"/>
                <w:szCs w:val="21"/>
              </w:rPr>
              <w:t>本项最高得</w:t>
            </w:r>
            <w:r>
              <w:rPr>
                <w:rFonts w:hint="eastAsia" w:ascii="楷体" w:hAnsi="楷体"/>
                <w:sz w:val="24"/>
                <w:szCs w:val="21"/>
                <w:lang w:val="en-US" w:eastAsia="zh-CN"/>
              </w:rPr>
              <w:t>15</w:t>
            </w:r>
            <w:r>
              <w:rPr>
                <w:rFonts w:hint="eastAsia" w:ascii="楷体" w:hAnsi="楷体" w:eastAsia="宋体"/>
                <w:sz w:val="24"/>
                <w:szCs w:val="21"/>
              </w:rPr>
              <w:t>分。</w:t>
            </w:r>
          </w:p>
          <w:p w14:paraId="019BA7EE">
            <w:pPr>
              <w:pStyle w:val="11"/>
              <w:rPr>
                <w:rFonts w:hint="default" w:ascii="楷体" w:hAnsi="楷体" w:eastAsia="宋体"/>
                <w:sz w:val="24"/>
                <w:szCs w:val="21"/>
              </w:rPr>
            </w:pPr>
          </w:p>
          <w:p w14:paraId="537BECA6">
            <w:pPr>
              <w:pStyle w:val="11"/>
              <w:rPr>
                <w:rFonts w:hint="eastAsia" w:ascii="楷体" w:hAnsi="楷体" w:eastAsia="宋体"/>
                <w:sz w:val="24"/>
                <w:szCs w:val="21"/>
              </w:rPr>
            </w:pPr>
            <w:r>
              <w:rPr>
                <w:rFonts w:hint="eastAsia" w:ascii="楷体" w:hAnsi="楷体" w:eastAsia="宋体"/>
                <w:sz w:val="24"/>
                <w:szCs w:val="21"/>
              </w:rPr>
              <w:t>评分依据：</w:t>
            </w:r>
          </w:p>
          <w:p w14:paraId="03AA4D55">
            <w:pPr>
              <w:pStyle w:val="11"/>
              <w:rPr>
                <w:rFonts w:hint="eastAsia" w:ascii="楷体" w:hAnsi="楷体" w:eastAsia="宋体"/>
                <w:sz w:val="24"/>
                <w:szCs w:val="21"/>
              </w:rPr>
            </w:pPr>
            <w:r>
              <w:rPr>
                <w:rFonts w:hint="eastAsia" w:ascii="楷体" w:hAnsi="楷体" w:eastAsia="宋体"/>
                <w:sz w:val="24"/>
                <w:szCs w:val="21"/>
              </w:rPr>
              <w:t>1.提供通过投标单位缴纳的开标日前近三个月的个人社保证明（社保资料必须至少显示缴交养老保险信息，未显示该信息的该社保资料不符合要求），如开标日前近一个月的社保证明因社保部门原因暂时无法提供，可往前顺延一个月；投标人如成立不足一个月的，无需提供社保证明，以投标人营业执照成立时间为准，提供承诺函（格式自拟）说明该员工为自有员工。</w:t>
            </w:r>
          </w:p>
          <w:p w14:paraId="7484414A">
            <w:pPr>
              <w:pStyle w:val="11"/>
              <w:rPr>
                <w:rFonts w:hint="eastAsia" w:ascii="楷体" w:hAnsi="楷体" w:eastAsia="宋体"/>
                <w:sz w:val="24"/>
                <w:szCs w:val="21"/>
              </w:rPr>
            </w:pPr>
            <w:r>
              <w:rPr>
                <w:rFonts w:hint="eastAsia" w:ascii="楷体" w:hAnsi="楷体" w:eastAsia="宋体"/>
                <w:sz w:val="24"/>
                <w:szCs w:val="21"/>
              </w:rPr>
              <w:t>2.要求提供相关证书及证书官网或权威机构（如“中国社会组织公共服务平台”“中国国家认证认可监督管理委员会”等）等合法查询渠道的查询记录（原件备查），相关证书在公开渠道无法查询的，需提供颁发部门或者监管机构的证明材料，证明证书真实有效且为合法机构颁发，作为得分依据。（注：相关证明材料如为外文，需提供中文翻译件加盖投标人公章）</w:t>
            </w:r>
          </w:p>
          <w:p w14:paraId="33F9F149">
            <w:pPr>
              <w:pStyle w:val="11"/>
              <w:rPr>
                <w:rFonts w:hint="eastAsia" w:ascii="宋体" w:hAnsi="宋体" w:cs="仿宋"/>
                <w:color w:val="auto"/>
                <w:sz w:val="24"/>
                <w:szCs w:val="15"/>
                <w:highlight w:val="none"/>
              </w:rPr>
            </w:pPr>
            <w:r>
              <w:rPr>
                <w:rFonts w:hint="eastAsia" w:ascii="楷体" w:hAnsi="楷体" w:eastAsia="宋体"/>
                <w:sz w:val="24"/>
                <w:szCs w:val="21"/>
              </w:rPr>
              <w:t>3.以上资料均要求提供扫描件或复印件（或官方网站截图）加盖投标人公章，原件备查。评分中出现无证明资料或专家无法凭所提供资料判断是否得分的情况，一律作不得分处理。</w:t>
            </w:r>
          </w:p>
        </w:tc>
      </w:tr>
      <w:tr w14:paraId="70F9C3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restart"/>
            <w:tcBorders>
              <w:top w:val="single" w:color="000000" w:sz="8" w:space="0"/>
              <w:left w:val="single" w:color="000000" w:sz="8" w:space="0"/>
              <w:right w:val="single" w:color="000000" w:sz="8" w:space="0"/>
            </w:tcBorders>
            <w:noWrap w:val="0"/>
            <w:vAlign w:val="center"/>
          </w:tcPr>
          <w:p w14:paraId="6230B765">
            <w:pPr>
              <w:widowControl/>
              <w:wordWrap w:val="0"/>
              <w:spacing w:line="300" w:lineRule="auto"/>
              <w:jc w:val="center"/>
              <w:rPr>
                <w:rFonts w:eastAsia="宋体"/>
                <w:b/>
                <w:bCs/>
                <w:color w:val="auto"/>
                <w:sz w:val="24"/>
                <w:szCs w:val="18"/>
                <w:highlight w:val="none"/>
              </w:rPr>
            </w:pPr>
            <w:r>
              <w:rPr>
                <w:rFonts w:ascii="宋体" w:hAnsi="宋体" w:eastAsia="宋体" w:cs="宋体"/>
                <w:b/>
                <w:bCs/>
                <w:color w:val="auto"/>
                <w:kern w:val="0"/>
                <w:sz w:val="24"/>
                <w:szCs w:val="18"/>
                <w:highlight w:val="none"/>
                <w:lang w:bidi="ar"/>
              </w:rPr>
              <w:t>3</w:t>
            </w:r>
          </w:p>
        </w:tc>
        <w:tc>
          <w:tcPr>
            <w:tcW w:w="3030" w:type="dxa"/>
            <w:gridSpan w:val="3"/>
            <w:tcBorders>
              <w:top w:val="single" w:color="000000" w:sz="8" w:space="0"/>
              <w:left w:val="single" w:color="000000" w:sz="8" w:space="0"/>
              <w:bottom w:val="single" w:color="000000" w:sz="8" w:space="0"/>
              <w:right w:val="single" w:color="000000" w:sz="8" w:space="0"/>
            </w:tcBorders>
            <w:noWrap w:val="0"/>
            <w:vAlign w:val="center"/>
          </w:tcPr>
          <w:p w14:paraId="16F7BBF7">
            <w:pPr>
              <w:widowControl/>
              <w:wordWrap w:val="0"/>
              <w:spacing w:line="300" w:lineRule="auto"/>
              <w:jc w:val="center"/>
              <w:rPr>
                <w:rFonts w:eastAsia="宋体"/>
                <w:b/>
                <w:bCs/>
                <w:color w:val="auto"/>
                <w:sz w:val="24"/>
                <w:szCs w:val="18"/>
                <w:highlight w:val="none"/>
              </w:rPr>
            </w:pPr>
            <w:r>
              <w:rPr>
                <w:rFonts w:hint="eastAsia" w:ascii="宋体" w:hAnsi="宋体" w:eastAsia="宋体" w:cs="宋体"/>
                <w:b/>
                <w:bCs/>
                <w:color w:val="auto"/>
                <w:kern w:val="0"/>
                <w:sz w:val="24"/>
                <w:szCs w:val="18"/>
                <w:highlight w:val="none"/>
                <w:lang w:bidi="ar"/>
              </w:rPr>
              <w:t>技术部分</w:t>
            </w:r>
          </w:p>
        </w:tc>
        <w:tc>
          <w:tcPr>
            <w:tcW w:w="5367" w:type="dxa"/>
            <w:tcBorders>
              <w:top w:val="single" w:color="000000" w:sz="8" w:space="0"/>
              <w:left w:val="single" w:color="000000" w:sz="8" w:space="0"/>
              <w:bottom w:val="single" w:color="000000" w:sz="8" w:space="0"/>
              <w:right w:val="single" w:color="000000" w:sz="8" w:space="0"/>
            </w:tcBorders>
            <w:noWrap w:val="0"/>
            <w:vAlign w:val="center"/>
          </w:tcPr>
          <w:p w14:paraId="76703D16">
            <w:pPr>
              <w:widowControl/>
              <w:wordWrap w:val="0"/>
              <w:spacing w:line="300" w:lineRule="auto"/>
              <w:jc w:val="center"/>
              <w:rPr>
                <w:rFonts w:hint="default" w:eastAsia="宋体"/>
                <w:b/>
                <w:bCs/>
                <w:color w:val="auto"/>
                <w:sz w:val="24"/>
                <w:szCs w:val="18"/>
                <w:highlight w:val="none"/>
                <w:lang w:val="en-US" w:eastAsia="zh-CN"/>
              </w:rPr>
            </w:pPr>
            <w:r>
              <w:rPr>
                <w:rFonts w:hint="eastAsia" w:eastAsia="宋体"/>
                <w:b/>
                <w:bCs/>
                <w:color w:val="auto"/>
                <w:sz w:val="24"/>
                <w:szCs w:val="18"/>
                <w:highlight w:val="none"/>
                <w:lang w:val="en-US" w:eastAsia="zh-CN"/>
              </w:rPr>
              <w:t>50</w:t>
            </w:r>
          </w:p>
        </w:tc>
      </w:tr>
      <w:tr w14:paraId="5D29CF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shd w:val="clear" w:color="auto" w:fill="E6EFFA"/>
            <w:noWrap w:val="0"/>
            <w:vAlign w:val="center"/>
          </w:tcPr>
          <w:p w14:paraId="3DF9150C">
            <w:pPr>
              <w:spacing w:line="300" w:lineRule="auto"/>
              <w:jc w:val="center"/>
              <w:rPr>
                <w:rFonts w:ascii="宋体" w:eastAsia="宋体"/>
                <w:b/>
                <w:bCs/>
                <w:color w:val="auto"/>
                <w:sz w:val="24"/>
                <w:szCs w:val="18"/>
                <w:highlight w:val="none"/>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5D581063">
            <w:pPr>
              <w:widowControl/>
              <w:wordWrap w:val="0"/>
              <w:spacing w:line="300" w:lineRule="auto"/>
              <w:jc w:val="center"/>
              <w:rPr>
                <w:rFonts w:eastAsia="宋体"/>
                <w:color w:val="auto"/>
                <w:sz w:val="24"/>
                <w:szCs w:val="18"/>
                <w:highlight w:val="none"/>
              </w:rPr>
            </w:pPr>
            <w:r>
              <w:rPr>
                <w:rFonts w:ascii="宋体" w:hAnsi="宋体" w:eastAsia="宋体" w:cs="宋体"/>
                <w:color w:val="auto"/>
                <w:kern w:val="0"/>
                <w:sz w:val="24"/>
                <w:szCs w:val="18"/>
                <w:highlight w:val="none"/>
                <w:lang w:bidi="ar"/>
              </w:rPr>
              <w:t>序号</w:t>
            </w:r>
          </w:p>
        </w:tc>
        <w:tc>
          <w:tcPr>
            <w:tcW w:w="1613"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51DB5FBB">
            <w:pPr>
              <w:widowControl/>
              <w:wordWrap w:val="0"/>
              <w:spacing w:line="300" w:lineRule="auto"/>
              <w:jc w:val="center"/>
              <w:rPr>
                <w:rFonts w:eastAsia="宋体"/>
                <w:color w:val="auto"/>
                <w:sz w:val="24"/>
                <w:szCs w:val="18"/>
                <w:highlight w:val="none"/>
              </w:rPr>
            </w:pPr>
            <w:r>
              <w:rPr>
                <w:rFonts w:ascii="宋体" w:hAnsi="宋体" w:eastAsia="宋体" w:cs="宋体"/>
                <w:color w:val="auto"/>
                <w:kern w:val="0"/>
                <w:sz w:val="24"/>
                <w:szCs w:val="18"/>
                <w:highlight w:val="none"/>
                <w:lang w:bidi="ar"/>
              </w:rPr>
              <w:t>评分因素</w:t>
            </w:r>
          </w:p>
        </w:tc>
        <w:tc>
          <w:tcPr>
            <w:tcW w:w="736"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16286024">
            <w:pPr>
              <w:widowControl/>
              <w:wordWrap w:val="0"/>
              <w:spacing w:line="300" w:lineRule="auto"/>
              <w:jc w:val="center"/>
              <w:rPr>
                <w:rFonts w:hint="eastAsia" w:eastAsia="宋体"/>
                <w:color w:val="auto"/>
                <w:sz w:val="24"/>
                <w:szCs w:val="18"/>
                <w:highlight w:val="none"/>
                <w:lang w:eastAsia="zh-CN"/>
              </w:rPr>
            </w:pPr>
            <w:r>
              <w:rPr>
                <w:rFonts w:hint="eastAsia" w:ascii="宋体" w:hAnsi="宋体" w:eastAsia="宋体" w:cs="宋体"/>
                <w:color w:val="auto"/>
                <w:kern w:val="0"/>
                <w:sz w:val="24"/>
                <w:szCs w:val="18"/>
                <w:highlight w:val="none"/>
                <w:lang w:val="en-US" w:eastAsia="zh-CN" w:bidi="ar"/>
              </w:rPr>
              <w:t>分值</w:t>
            </w:r>
          </w:p>
        </w:tc>
        <w:tc>
          <w:tcPr>
            <w:tcW w:w="5367"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0350D80B">
            <w:pPr>
              <w:widowControl/>
              <w:wordWrap w:val="0"/>
              <w:spacing w:line="300" w:lineRule="auto"/>
              <w:jc w:val="center"/>
              <w:rPr>
                <w:rFonts w:eastAsia="宋体"/>
                <w:color w:val="auto"/>
                <w:sz w:val="24"/>
                <w:szCs w:val="18"/>
                <w:highlight w:val="none"/>
              </w:rPr>
            </w:pPr>
            <w:r>
              <w:rPr>
                <w:rFonts w:ascii="宋体" w:hAnsi="宋体" w:eastAsia="宋体" w:cs="宋体"/>
                <w:color w:val="auto"/>
                <w:kern w:val="0"/>
                <w:sz w:val="24"/>
                <w:szCs w:val="18"/>
                <w:highlight w:val="none"/>
                <w:lang w:bidi="ar"/>
              </w:rPr>
              <w:t>评分准则</w:t>
            </w:r>
          </w:p>
        </w:tc>
      </w:tr>
      <w:tr w14:paraId="2235EB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noWrap w:val="0"/>
            <w:vAlign w:val="center"/>
          </w:tcPr>
          <w:p w14:paraId="7210FB9B">
            <w:pPr>
              <w:spacing w:line="300" w:lineRule="auto"/>
              <w:jc w:val="center"/>
              <w:rPr>
                <w:rFonts w:ascii="宋体" w:eastAsia="宋体"/>
                <w:b/>
                <w:bCs/>
                <w:color w:val="auto"/>
                <w:sz w:val="24"/>
                <w:szCs w:val="18"/>
                <w:highlight w:val="none"/>
              </w:rPr>
            </w:pP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4AA10D29">
            <w:pPr>
              <w:widowControl/>
              <w:wordWrap w:val="0"/>
              <w:spacing w:line="300" w:lineRule="auto"/>
              <w:jc w:val="center"/>
              <w:textAlignment w:val="top"/>
              <w:rPr>
                <w:rFonts w:hint="eastAsia" w:ascii="宋体" w:hAnsi="宋体" w:eastAsia="宋体"/>
                <w:color w:val="auto"/>
                <w:sz w:val="24"/>
                <w:szCs w:val="18"/>
                <w:highlight w:val="none"/>
                <w:lang w:val="en-US" w:eastAsia="zh-CN"/>
              </w:rPr>
            </w:pPr>
            <w:r>
              <w:rPr>
                <w:rFonts w:hint="eastAsia" w:ascii="宋体" w:hAnsi="宋体" w:eastAsia="宋体" w:cs="宋体"/>
                <w:color w:val="auto"/>
                <w:kern w:val="0"/>
                <w:sz w:val="24"/>
                <w:szCs w:val="18"/>
                <w:highlight w:val="none"/>
                <w:lang w:bidi="ar"/>
              </w:rPr>
              <w:t>1</w:t>
            </w:r>
          </w:p>
        </w:tc>
        <w:tc>
          <w:tcPr>
            <w:tcW w:w="1613" w:type="dxa"/>
            <w:tcBorders>
              <w:top w:val="single" w:color="000000" w:sz="8" w:space="0"/>
              <w:left w:val="single" w:color="000000" w:sz="8" w:space="0"/>
              <w:bottom w:val="single" w:color="000000" w:sz="8" w:space="0"/>
              <w:right w:val="single" w:color="000000" w:sz="8" w:space="0"/>
            </w:tcBorders>
            <w:noWrap w:val="0"/>
            <w:vAlign w:val="center"/>
          </w:tcPr>
          <w:p w14:paraId="6E5D7E79">
            <w:pPr>
              <w:pStyle w:val="11"/>
              <w:rPr>
                <w:rFonts w:hint="eastAsia" w:ascii="宋体" w:hAnsi="宋体"/>
                <w:color w:val="auto"/>
                <w:sz w:val="24"/>
                <w:szCs w:val="18"/>
                <w:highlight w:val="none"/>
              </w:rPr>
            </w:pPr>
            <w:r>
              <w:rPr>
                <w:rFonts w:hint="eastAsia" w:ascii="楷体" w:hAnsi="楷体" w:eastAsia="宋体" w:cs="Times New Roman"/>
                <w:color w:val="auto"/>
                <w:sz w:val="24"/>
                <w:szCs w:val="21"/>
                <w:highlight w:val="none"/>
                <w:lang w:val="en-US" w:eastAsia="zh-CN"/>
              </w:rPr>
              <w:t>需求理解与功能设计</w:t>
            </w:r>
          </w:p>
        </w:tc>
        <w:tc>
          <w:tcPr>
            <w:tcW w:w="736" w:type="dxa"/>
            <w:tcBorders>
              <w:top w:val="single" w:color="000000" w:sz="8" w:space="0"/>
              <w:left w:val="single" w:color="000000" w:sz="8" w:space="0"/>
              <w:bottom w:val="single" w:color="000000" w:sz="8" w:space="0"/>
              <w:right w:val="single" w:color="000000" w:sz="8" w:space="0"/>
            </w:tcBorders>
            <w:noWrap w:val="0"/>
            <w:vAlign w:val="center"/>
          </w:tcPr>
          <w:p w14:paraId="5322039D">
            <w:pPr>
              <w:pStyle w:val="11"/>
              <w:jc w:val="center"/>
              <w:rPr>
                <w:rFonts w:hint="eastAsia"/>
                <w:color w:val="auto"/>
                <w:sz w:val="24"/>
                <w:szCs w:val="18"/>
                <w:highlight w:val="none"/>
              </w:rPr>
            </w:pPr>
            <w:r>
              <w:rPr>
                <w:rFonts w:hint="eastAsia" w:ascii="楷体" w:hAnsi="楷体" w:eastAsia="宋体"/>
                <w:sz w:val="24"/>
                <w:szCs w:val="21"/>
              </w:rPr>
              <w:t>15</w:t>
            </w:r>
          </w:p>
        </w:tc>
        <w:tc>
          <w:tcPr>
            <w:tcW w:w="5367" w:type="dxa"/>
            <w:tcBorders>
              <w:top w:val="single" w:color="000000" w:sz="8" w:space="0"/>
              <w:left w:val="single" w:color="000000" w:sz="8" w:space="0"/>
              <w:bottom w:val="single" w:color="000000" w:sz="8" w:space="0"/>
              <w:right w:val="single" w:color="000000" w:sz="8" w:space="0"/>
            </w:tcBorders>
            <w:noWrap w:val="0"/>
            <w:vAlign w:val="center"/>
          </w:tcPr>
          <w:p w14:paraId="14590666">
            <w:pPr>
              <w:rPr>
                <w:rFonts w:hint="eastAsia" w:ascii="楷体" w:hAnsi="楷体" w:eastAsia="宋体"/>
                <w:sz w:val="24"/>
                <w:szCs w:val="21"/>
              </w:rPr>
            </w:pPr>
            <w:r>
              <w:rPr>
                <w:rFonts w:hint="eastAsia" w:ascii="楷体" w:hAnsi="楷体" w:eastAsia="宋体"/>
                <w:sz w:val="24"/>
                <w:szCs w:val="21"/>
              </w:rPr>
              <w:t>评审内容：</w:t>
            </w:r>
          </w:p>
          <w:p w14:paraId="241C4DCB">
            <w:pPr>
              <w:rPr>
                <w:rFonts w:hint="eastAsia" w:ascii="楷体" w:hAnsi="楷体" w:eastAsia="宋体"/>
                <w:sz w:val="24"/>
                <w:szCs w:val="21"/>
              </w:rPr>
            </w:pPr>
            <w:r>
              <w:rPr>
                <w:rFonts w:hint="eastAsia" w:ascii="楷体" w:hAnsi="楷体" w:eastAsia="宋体"/>
                <w:sz w:val="24"/>
                <w:szCs w:val="21"/>
              </w:rPr>
              <w:t>投标人结合本项目</w:t>
            </w:r>
            <w:r>
              <w:rPr>
                <w:rFonts w:hint="eastAsia" w:ascii="楷体" w:hAnsi="楷体" w:eastAsia="宋体"/>
                <w:sz w:val="24"/>
                <w:szCs w:val="21"/>
                <w:lang w:val="en-US" w:eastAsia="zh-CN"/>
              </w:rPr>
              <w:t>进行</w:t>
            </w:r>
            <w:r>
              <w:rPr>
                <w:rFonts w:hint="eastAsia" w:ascii="宋体" w:hAnsi="宋体" w:eastAsia="宋体" w:cs="仿宋"/>
                <w:color w:val="auto"/>
                <w:sz w:val="24"/>
                <w:szCs w:val="24"/>
                <w:highlight w:val="none"/>
                <w:lang w:val="en-US" w:eastAsia="zh-CN"/>
              </w:rPr>
              <w:t>需求理解与功能设计</w:t>
            </w:r>
            <w:r>
              <w:rPr>
                <w:rFonts w:hint="eastAsia" w:ascii="楷体" w:hAnsi="楷体"/>
                <w:sz w:val="24"/>
                <w:szCs w:val="21"/>
                <w:lang w:val="en-US" w:eastAsia="zh-CN"/>
              </w:rPr>
              <w:t>，</w:t>
            </w:r>
            <w:r>
              <w:rPr>
                <w:rFonts w:hint="eastAsia" w:ascii="楷体" w:hAnsi="楷体" w:eastAsia="宋体"/>
                <w:sz w:val="24"/>
                <w:szCs w:val="21"/>
              </w:rPr>
              <w:t>应包括：</w:t>
            </w:r>
          </w:p>
          <w:p w14:paraId="473FAB0F">
            <w:pPr>
              <w:rPr>
                <w:rFonts w:hint="eastAsia" w:ascii="楷体" w:hAnsi="楷体" w:eastAsia="宋体"/>
                <w:sz w:val="24"/>
                <w:szCs w:val="21"/>
              </w:rPr>
            </w:pPr>
            <w:r>
              <w:rPr>
                <w:rFonts w:hint="eastAsia" w:ascii="楷体" w:hAnsi="楷体" w:eastAsia="宋体"/>
                <w:sz w:val="24"/>
                <w:szCs w:val="21"/>
              </w:rPr>
              <w:t>1</w:t>
            </w:r>
            <w:r>
              <w:rPr>
                <w:rFonts w:hint="eastAsia" w:ascii="楷体" w:hAnsi="楷体"/>
                <w:sz w:val="24"/>
                <w:szCs w:val="21"/>
                <w:lang w:val="en-US" w:eastAsia="zh-CN"/>
              </w:rPr>
              <w:t>.</w:t>
            </w:r>
            <w:r>
              <w:rPr>
                <w:rFonts w:hint="eastAsia" w:ascii="楷体" w:hAnsi="楷体" w:eastAsia="宋体"/>
                <w:sz w:val="24"/>
                <w:szCs w:val="21"/>
              </w:rPr>
              <w:t>描述项目现状情况；</w:t>
            </w:r>
          </w:p>
          <w:p w14:paraId="6F821A85">
            <w:pPr>
              <w:rPr>
                <w:rFonts w:hint="eastAsia" w:ascii="楷体" w:hAnsi="楷体" w:eastAsia="宋体"/>
                <w:sz w:val="24"/>
                <w:szCs w:val="21"/>
              </w:rPr>
            </w:pPr>
            <w:r>
              <w:rPr>
                <w:rFonts w:hint="eastAsia" w:ascii="楷体" w:hAnsi="楷体" w:eastAsia="宋体"/>
                <w:sz w:val="24"/>
                <w:szCs w:val="21"/>
              </w:rPr>
              <w:t>2</w:t>
            </w:r>
            <w:r>
              <w:rPr>
                <w:rFonts w:hint="eastAsia" w:ascii="楷体" w:hAnsi="楷体"/>
                <w:sz w:val="24"/>
                <w:szCs w:val="21"/>
                <w:lang w:val="en-US" w:eastAsia="zh-CN"/>
              </w:rPr>
              <w:t>.提供《项目需求书》</w:t>
            </w:r>
            <w:r>
              <w:rPr>
                <w:rFonts w:hint="eastAsia" w:ascii="楷体" w:hAnsi="楷体" w:eastAsia="宋体"/>
                <w:sz w:val="24"/>
                <w:szCs w:val="21"/>
              </w:rPr>
              <w:t>。</w:t>
            </w:r>
          </w:p>
          <w:p w14:paraId="11212FDA">
            <w:pPr>
              <w:rPr>
                <w:rFonts w:hint="eastAsia" w:ascii="楷体" w:hAnsi="楷体" w:eastAsia="宋体"/>
                <w:sz w:val="24"/>
                <w:szCs w:val="21"/>
              </w:rPr>
            </w:pPr>
            <w:r>
              <w:rPr>
                <w:rFonts w:hint="eastAsia" w:ascii="楷体" w:hAnsi="楷体"/>
                <w:sz w:val="24"/>
                <w:szCs w:val="21"/>
                <w:lang w:eastAsia="zh-CN"/>
              </w:rPr>
              <w:t>3</w:t>
            </w:r>
            <w:r>
              <w:rPr>
                <w:rFonts w:hint="eastAsia" w:ascii="楷体" w:hAnsi="楷体"/>
                <w:sz w:val="24"/>
                <w:szCs w:val="21"/>
                <w:lang w:val="en-US" w:eastAsia="zh-CN"/>
              </w:rPr>
              <w:t>.提供《功能点详细分析》</w:t>
            </w:r>
          </w:p>
          <w:p w14:paraId="50A02D6F">
            <w:pPr>
              <w:rPr>
                <w:rFonts w:hint="eastAsia" w:ascii="楷体" w:hAnsi="楷体" w:eastAsia="宋体"/>
                <w:sz w:val="24"/>
                <w:szCs w:val="21"/>
              </w:rPr>
            </w:pPr>
            <w:r>
              <w:rPr>
                <w:rFonts w:hint="eastAsia" w:ascii="楷体" w:hAnsi="楷体" w:eastAsia="宋体"/>
                <w:sz w:val="24"/>
                <w:szCs w:val="21"/>
              </w:rPr>
              <w:t>专家根据各供应商的具体响应内容按照量化的评审因素指标</w:t>
            </w:r>
            <w:r>
              <w:rPr>
                <w:rFonts w:hint="eastAsia" w:ascii="楷体" w:hAnsi="楷体" w:eastAsia="宋体"/>
                <w:sz w:val="24"/>
                <w:szCs w:val="21"/>
                <w:lang w:val="en-US" w:eastAsia="zh-CN"/>
              </w:rPr>
              <w:t>进行</w:t>
            </w:r>
            <w:r>
              <w:rPr>
                <w:rFonts w:hint="eastAsia" w:ascii="楷体" w:hAnsi="楷体" w:eastAsia="宋体"/>
                <w:sz w:val="24"/>
                <w:szCs w:val="21"/>
              </w:rPr>
              <w:t>评审</w:t>
            </w:r>
          </w:p>
          <w:p w14:paraId="1DC465B0">
            <w:pPr>
              <w:numPr>
                <w:ilvl w:val="0"/>
                <w:numId w:val="3"/>
              </w:numPr>
              <w:rPr>
                <w:rFonts w:hint="eastAsia" w:eastAsia="宋体"/>
                <w:sz w:val="24"/>
                <w:szCs w:val="24"/>
              </w:rPr>
            </w:pPr>
            <w:r>
              <w:rPr>
                <w:rFonts w:hint="eastAsia" w:eastAsia="宋体"/>
                <w:sz w:val="24"/>
                <w:szCs w:val="24"/>
              </w:rPr>
              <w:t>理解深刻，设计出彩：能精准把握业务痛点，功能设计超出预期，用户体验考量周全：得</w:t>
            </w:r>
            <w:r>
              <w:rPr>
                <w:rFonts w:hint="eastAsia" w:eastAsia="宋体"/>
                <w:sz w:val="24"/>
                <w:szCs w:val="24"/>
                <w:lang w:val="en-US" w:eastAsia="zh-CN"/>
              </w:rPr>
              <w:t>13</w:t>
            </w:r>
            <w:r>
              <w:rPr>
                <w:rFonts w:hint="eastAsia" w:eastAsia="宋体"/>
                <w:sz w:val="24"/>
                <w:szCs w:val="24"/>
              </w:rPr>
              <w:t>-1</w:t>
            </w:r>
            <w:r>
              <w:rPr>
                <w:rFonts w:hint="eastAsia" w:eastAsia="宋体"/>
                <w:sz w:val="24"/>
                <w:szCs w:val="24"/>
                <w:lang w:val="en-US" w:eastAsia="zh-CN"/>
              </w:rPr>
              <w:t>5</w:t>
            </w:r>
            <w:r>
              <w:rPr>
                <w:rFonts w:hint="eastAsia" w:eastAsia="宋体"/>
                <w:sz w:val="24"/>
                <w:szCs w:val="24"/>
              </w:rPr>
              <w:t xml:space="preserve">分； （2）理解到位，设计完整：能正确理解需求，功能设计覆盖全面，逻辑清晰：得 </w:t>
            </w:r>
            <w:r>
              <w:rPr>
                <w:rFonts w:hint="eastAsia" w:eastAsia="宋体"/>
                <w:sz w:val="24"/>
                <w:szCs w:val="24"/>
                <w:lang w:val="en-US" w:eastAsia="zh-CN"/>
              </w:rPr>
              <w:t>8</w:t>
            </w:r>
            <w:r>
              <w:rPr>
                <w:rFonts w:hint="eastAsia" w:eastAsia="宋体"/>
                <w:sz w:val="24"/>
                <w:szCs w:val="24"/>
              </w:rPr>
              <w:t>-</w:t>
            </w:r>
            <w:r>
              <w:rPr>
                <w:rFonts w:hint="eastAsia" w:eastAsia="宋体"/>
                <w:sz w:val="24"/>
                <w:szCs w:val="24"/>
                <w:lang w:val="en-US" w:eastAsia="zh-CN"/>
              </w:rPr>
              <w:t>12</w:t>
            </w:r>
            <w:r>
              <w:rPr>
                <w:rFonts w:hint="eastAsia" w:eastAsia="宋体"/>
                <w:sz w:val="24"/>
                <w:szCs w:val="24"/>
              </w:rPr>
              <w:t xml:space="preserve">分； （3）理解浅显，设计平淡：仅简单罗列功能，缺乏深入分析和优化建议：得 </w:t>
            </w:r>
            <w:r>
              <w:rPr>
                <w:rFonts w:hint="eastAsia" w:eastAsia="宋体"/>
                <w:sz w:val="24"/>
                <w:szCs w:val="24"/>
                <w:lang w:val="en-US" w:eastAsia="zh-CN"/>
              </w:rPr>
              <w:t>1</w:t>
            </w:r>
            <w:r>
              <w:rPr>
                <w:rFonts w:hint="eastAsia" w:eastAsia="宋体"/>
                <w:sz w:val="24"/>
                <w:szCs w:val="24"/>
              </w:rPr>
              <w:t>-</w:t>
            </w:r>
            <w:r>
              <w:rPr>
                <w:rFonts w:hint="eastAsia" w:eastAsia="宋体"/>
                <w:sz w:val="24"/>
                <w:szCs w:val="24"/>
                <w:lang w:val="en-US" w:eastAsia="zh-CN"/>
              </w:rPr>
              <w:t>7</w:t>
            </w:r>
            <w:r>
              <w:rPr>
                <w:rFonts w:hint="eastAsia" w:eastAsia="宋体"/>
                <w:sz w:val="24"/>
                <w:szCs w:val="24"/>
              </w:rPr>
              <w:t>分； （4）未提供：得0分。</w:t>
            </w:r>
          </w:p>
          <w:p w14:paraId="5E54B30F">
            <w:pPr>
              <w:rPr>
                <w:rFonts w:hint="eastAsia"/>
                <w:color w:val="auto"/>
                <w:sz w:val="24"/>
                <w:szCs w:val="18"/>
                <w:highlight w:val="none"/>
              </w:rPr>
            </w:pPr>
            <w:r>
              <w:rPr>
                <w:rFonts w:hint="eastAsia" w:eastAsia="宋体"/>
                <w:sz w:val="24"/>
                <w:szCs w:val="24"/>
              </w:rPr>
              <w:t>本项最高得15分。</w:t>
            </w:r>
            <w:r>
              <w:rPr>
                <w:rFonts w:hint="eastAsia" w:eastAsia="宋体"/>
                <w:sz w:val="24"/>
                <w:szCs w:val="24"/>
                <w:lang w:val="en-US" w:eastAsia="zh-CN"/>
              </w:rPr>
              <w:t>投标人应</w:t>
            </w:r>
            <w:r>
              <w:rPr>
                <w:rFonts w:hint="eastAsia" w:eastAsia="宋体"/>
                <w:sz w:val="24"/>
                <w:szCs w:val="24"/>
              </w:rPr>
              <w:t>提交</w:t>
            </w:r>
            <w:r>
              <w:rPr>
                <w:rFonts w:hint="eastAsia" w:ascii="楷体" w:hAnsi="楷体"/>
                <w:sz w:val="24"/>
                <w:szCs w:val="21"/>
                <w:lang w:val="en-US" w:eastAsia="zh-CN"/>
              </w:rPr>
              <w:t>《项目需求书》及</w:t>
            </w:r>
            <w:r>
              <w:rPr>
                <w:rFonts w:hint="eastAsia" w:eastAsia="宋体"/>
                <w:sz w:val="24"/>
                <w:szCs w:val="24"/>
              </w:rPr>
              <w:t>《</w:t>
            </w:r>
            <w:r>
              <w:rPr>
                <w:rFonts w:hint="eastAsia" w:ascii="楷体" w:hAnsi="楷体"/>
                <w:sz w:val="24"/>
                <w:szCs w:val="21"/>
                <w:lang w:val="en-US" w:eastAsia="zh-CN"/>
              </w:rPr>
              <w:t>功能点详细分析</w:t>
            </w:r>
            <w:r>
              <w:rPr>
                <w:rFonts w:hint="eastAsia" w:eastAsia="宋体"/>
                <w:sz w:val="24"/>
                <w:szCs w:val="24"/>
              </w:rPr>
              <w:t>》，格式自拟</w:t>
            </w:r>
            <w:r>
              <w:rPr>
                <w:rFonts w:hint="eastAsia" w:eastAsia="宋体"/>
                <w:sz w:val="24"/>
                <w:szCs w:val="24"/>
                <w:lang w:eastAsia="zh-CN"/>
              </w:rPr>
              <w:t>。</w:t>
            </w:r>
          </w:p>
        </w:tc>
      </w:tr>
      <w:tr w14:paraId="47DB51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left w:val="single" w:color="000000" w:sz="8" w:space="0"/>
              <w:right w:val="single" w:color="000000" w:sz="8" w:space="0"/>
            </w:tcBorders>
            <w:noWrap w:val="0"/>
            <w:vAlign w:val="center"/>
          </w:tcPr>
          <w:p w14:paraId="45C20713">
            <w:pPr>
              <w:spacing w:line="300" w:lineRule="auto"/>
              <w:jc w:val="center"/>
              <w:rPr>
                <w:rFonts w:ascii="宋体" w:eastAsia="宋体"/>
                <w:b/>
                <w:bCs/>
                <w:color w:val="auto"/>
                <w:sz w:val="24"/>
                <w:szCs w:val="18"/>
                <w:highlight w:val="none"/>
              </w:rPr>
            </w:pP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15520226">
            <w:pPr>
              <w:widowControl/>
              <w:wordWrap w:val="0"/>
              <w:spacing w:line="300" w:lineRule="auto"/>
              <w:jc w:val="center"/>
              <w:textAlignment w:val="top"/>
              <w:rPr>
                <w:rFonts w:hint="eastAsia" w:ascii="宋体" w:hAnsi="宋体" w:eastAsia="宋体"/>
                <w:color w:val="auto"/>
                <w:sz w:val="24"/>
                <w:szCs w:val="18"/>
                <w:highlight w:val="none"/>
                <w:lang w:eastAsia="zh-CN"/>
              </w:rPr>
            </w:pPr>
            <w:r>
              <w:rPr>
                <w:rFonts w:hint="eastAsia" w:ascii="宋体" w:hAnsi="宋体" w:eastAsia="宋体" w:cs="宋体"/>
                <w:color w:val="auto"/>
                <w:kern w:val="0"/>
                <w:sz w:val="24"/>
                <w:szCs w:val="18"/>
                <w:highlight w:val="none"/>
                <w:lang w:bidi="ar"/>
              </w:rPr>
              <w:t>2</w:t>
            </w:r>
          </w:p>
        </w:tc>
        <w:tc>
          <w:tcPr>
            <w:tcW w:w="1613" w:type="dxa"/>
            <w:tcBorders>
              <w:top w:val="single" w:color="000000" w:sz="8" w:space="0"/>
              <w:left w:val="single" w:color="000000" w:sz="8" w:space="0"/>
              <w:bottom w:val="single" w:color="000000" w:sz="8" w:space="0"/>
              <w:right w:val="single" w:color="000000" w:sz="8" w:space="0"/>
            </w:tcBorders>
            <w:noWrap w:val="0"/>
            <w:vAlign w:val="center"/>
          </w:tcPr>
          <w:p w14:paraId="5F7B7E8C">
            <w:pPr>
              <w:pStyle w:val="11"/>
              <w:jc w:val="left"/>
              <w:rPr>
                <w:rFonts w:hint="eastAsia"/>
                <w:color w:val="auto"/>
                <w:sz w:val="24"/>
                <w:szCs w:val="18"/>
                <w:highlight w:val="none"/>
                <w:lang w:val="zh-CN"/>
              </w:rPr>
            </w:pPr>
            <w:r>
              <w:rPr>
                <w:rFonts w:hint="eastAsia" w:ascii="宋体" w:hAnsi="宋体" w:cs="宋体"/>
                <w:color w:val="auto"/>
                <w:sz w:val="24"/>
                <w:szCs w:val="18"/>
                <w:highlight w:val="none"/>
              </w:rPr>
              <w:t>架构设计文档</w:t>
            </w:r>
          </w:p>
        </w:tc>
        <w:tc>
          <w:tcPr>
            <w:tcW w:w="736" w:type="dxa"/>
            <w:tcBorders>
              <w:top w:val="single" w:color="000000" w:sz="8" w:space="0"/>
              <w:left w:val="single" w:color="000000" w:sz="8" w:space="0"/>
              <w:bottom w:val="single" w:color="000000" w:sz="8" w:space="0"/>
              <w:right w:val="single" w:color="000000" w:sz="8" w:space="0"/>
            </w:tcBorders>
            <w:noWrap w:val="0"/>
            <w:vAlign w:val="center"/>
          </w:tcPr>
          <w:p w14:paraId="2E6AAA8F">
            <w:pPr>
              <w:pStyle w:val="11"/>
              <w:jc w:val="center"/>
              <w:rPr>
                <w:rFonts w:hint="default" w:eastAsia="宋体"/>
                <w:color w:val="auto"/>
                <w:sz w:val="24"/>
                <w:szCs w:val="18"/>
                <w:highlight w:val="none"/>
                <w:lang w:val="en-US" w:eastAsia="zh-CN"/>
              </w:rPr>
            </w:pPr>
            <w:r>
              <w:rPr>
                <w:rFonts w:hint="eastAsia" w:ascii="楷体" w:hAnsi="楷体" w:eastAsia="宋体"/>
                <w:sz w:val="24"/>
                <w:szCs w:val="21"/>
              </w:rPr>
              <w:t>15</w:t>
            </w:r>
          </w:p>
        </w:tc>
        <w:tc>
          <w:tcPr>
            <w:tcW w:w="5367" w:type="dxa"/>
            <w:tcBorders>
              <w:top w:val="single" w:color="000000" w:sz="8" w:space="0"/>
              <w:left w:val="single" w:color="000000" w:sz="8" w:space="0"/>
              <w:bottom w:val="single" w:color="000000" w:sz="8" w:space="0"/>
              <w:right w:val="single" w:color="000000" w:sz="8" w:space="0"/>
            </w:tcBorders>
            <w:noWrap w:val="0"/>
            <w:vAlign w:val="center"/>
          </w:tcPr>
          <w:p w14:paraId="7BE6F13A">
            <w:pPr>
              <w:numPr>
                <w:ilvl w:val="0"/>
                <w:numId w:val="0"/>
              </w:numPr>
              <w:ind w:left="160" w:hanging="120" w:hangingChars="50"/>
              <w:rPr>
                <w:rFonts w:hint="eastAsia" w:ascii="楷体" w:hAnsi="楷体" w:eastAsia="宋体"/>
                <w:sz w:val="24"/>
                <w:szCs w:val="21"/>
              </w:rPr>
            </w:pPr>
            <w:r>
              <w:rPr>
                <w:rFonts w:hint="eastAsia" w:ascii="楷体" w:hAnsi="楷体" w:eastAsia="宋体"/>
                <w:sz w:val="24"/>
                <w:szCs w:val="21"/>
              </w:rPr>
              <w:t>评审内容：</w:t>
            </w:r>
            <w:r>
              <w:rPr>
                <w:rFonts w:hint="eastAsia" w:ascii="楷体" w:hAnsi="楷体"/>
                <w:sz w:val="24"/>
                <w:szCs w:val="21"/>
                <w:lang w:val="en-US" w:eastAsia="zh-CN"/>
              </w:rPr>
              <w:t>对投标人提供的</w:t>
            </w:r>
            <w:r>
              <w:rPr>
                <w:rFonts w:hint="eastAsia" w:ascii="楷体" w:hAnsi="楷体" w:eastAsia="宋体"/>
                <w:sz w:val="24"/>
                <w:szCs w:val="21"/>
              </w:rPr>
              <w:t>《架构设计文档》</w:t>
            </w:r>
            <w:r>
              <w:rPr>
                <w:rFonts w:hint="eastAsia" w:ascii="楷体" w:hAnsi="楷体"/>
                <w:sz w:val="24"/>
                <w:szCs w:val="21"/>
                <w:lang w:val="en-US" w:eastAsia="zh-CN"/>
              </w:rPr>
              <w:t>进行综合评审。</w:t>
            </w:r>
          </w:p>
          <w:p w14:paraId="0E14410B">
            <w:pPr>
              <w:numPr>
                <w:ilvl w:val="0"/>
                <w:numId w:val="0"/>
              </w:numPr>
              <w:ind w:left="160" w:hanging="120" w:hangingChars="50"/>
              <w:rPr>
                <w:rFonts w:hint="eastAsia" w:ascii="楷体" w:hAnsi="楷体" w:eastAsia="宋体"/>
                <w:sz w:val="24"/>
                <w:szCs w:val="21"/>
              </w:rPr>
            </w:pPr>
            <w:r>
              <w:rPr>
                <w:rFonts w:hint="eastAsia" w:ascii="楷体" w:hAnsi="楷体" w:eastAsia="宋体"/>
                <w:sz w:val="24"/>
                <w:szCs w:val="21"/>
              </w:rPr>
              <w:t>评审标准：</w:t>
            </w:r>
          </w:p>
          <w:p w14:paraId="709E473E">
            <w:pPr>
              <w:numPr>
                <w:ilvl w:val="-1"/>
                <w:numId w:val="0"/>
              </w:numPr>
              <w:ind w:left="160" w:hanging="120" w:hangingChars="50"/>
              <w:rPr>
                <w:rFonts w:hint="eastAsia" w:eastAsia="宋体"/>
                <w:sz w:val="24"/>
                <w:szCs w:val="24"/>
              </w:rPr>
            </w:pPr>
            <w:r>
              <w:rPr>
                <w:rFonts w:hint="eastAsia" w:ascii="Times New Roman" w:hAnsi="Times New Roman" w:eastAsia="宋体" w:cs="Times New Roman"/>
                <w:kern w:val="2"/>
                <w:sz w:val="24"/>
                <w:szCs w:val="24"/>
                <w:lang w:val="en-US" w:eastAsia="zh-CN" w:bidi="ar-SA"/>
              </w:rPr>
              <w:t>（1）</w:t>
            </w:r>
            <w:r>
              <w:rPr>
                <w:rFonts w:hint="eastAsia" w:eastAsia="宋体"/>
                <w:sz w:val="24"/>
                <w:szCs w:val="24"/>
              </w:rPr>
              <w:t xml:space="preserve">架构先进合理：技术选型理由充分，架构设计清晰，充分考虑可用性、可扩展性、安全性，与采购人技术环境匹配度高：得 </w:t>
            </w:r>
            <w:r>
              <w:rPr>
                <w:rFonts w:hint="eastAsia" w:eastAsia="宋体"/>
                <w:sz w:val="24"/>
                <w:szCs w:val="24"/>
                <w:lang w:val="en-US" w:eastAsia="zh-CN"/>
              </w:rPr>
              <w:t>13</w:t>
            </w:r>
            <w:r>
              <w:rPr>
                <w:rFonts w:hint="eastAsia" w:eastAsia="宋体"/>
                <w:sz w:val="24"/>
                <w:szCs w:val="24"/>
              </w:rPr>
              <w:t>-</w:t>
            </w:r>
            <w:r>
              <w:rPr>
                <w:rFonts w:hint="eastAsia" w:eastAsia="宋体"/>
                <w:sz w:val="24"/>
                <w:szCs w:val="24"/>
                <w:lang w:val="en-US" w:eastAsia="zh-CN"/>
              </w:rPr>
              <w:t>15</w:t>
            </w:r>
            <w:r>
              <w:rPr>
                <w:rFonts w:hint="eastAsia" w:eastAsia="宋体"/>
                <w:sz w:val="24"/>
                <w:szCs w:val="24"/>
              </w:rPr>
              <w:t>分； （2）架构基本合理：技术选型合适，架构设计完整，能满足基本需求：得</w:t>
            </w:r>
            <w:r>
              <w:rPr>
                <w:rFonts w:hint="eastAsia" w:eastAsia="宋体"/>
                <w:sz w:val="24"/>
                <w:szCs w:val="24"/>
                <w:lang w:val="en-US" w:eastAsia="zh-CN"/>
              </w:rPr>
              <w:t>8</w:t>
            </w:r>
            <w:r>
              <w:rPr>
                <w:rFonts w:hint="eastAsia" w:eastAsia="宋体"/>
                <w:sz w:val="24"/>
                <w:szCs w:val="24"/>
              </w:rPr>
              <w:t>-</w:t>
            </w:r>
            <w:r>
              <w:rPr>
                <w:rFonts w:hint="eastAsia" w:eastAsia="宋体"/>
                <w:sz w:val="24"/>
                <w:szCs w:val="24"/>
                <w:lang w:val="en-US" w:eastAsia="zh-CN"/>
              </w:rPr>
              <w:t>12</w:t>
            </w:r>
            <w:r>
              <w:rPr>
                <w:rFonts w:hint="eastAsia" w:eastAsia="宋体"/>
                <w:sz w:val="24"/>
                <w:szCs w:val="24"/>
              </w:rPr>
              <w:t xml:space="preserve">分； （3）架构设计简单：技术描述笼统，缺乏深度思考：得 </w:t>
            </w:r>
            <w:r>
              <w:rPr>
                <w:rFonts w:hint="eastAsia" w:eastAsia="宋体"/>
                <w:sz w:val="24"/>
                <w:szCs w:val="24"/>
                <w:lang w:val="en-US" w:eastAsia="zh-CN"/>
              </w:rPr>
              <w:t>1</w:t>
            </w:r>
            <w:r>
              <w:rPr>
                <w:rFonts w:hint="eastAsia" w:eastAsia="宋体"/>
                <w:sz w:val="24"/>
                <w:szCs w:val="24"/>
              </w:rPr>
              <w:t>-</w:t>
            </w:r>
            <w:r>
              <w:rPr>
                <w:rFonts w:hint="eastAsia" w:eastAsia="宋体"/>
                <w:sz w:val="24"/>
                <w:szCs w:val="24"/>
                <w:lang w:val="en-US" w:eastAsia="zh-CN"/>
              </w:rPr>
              <w:t>7</w:t>
            </w:r>
            <w:r>
              <w:rPr>
                <w:rFonts w:hint="eastAsia" w:eastAsia="宋体"/>
                <w:sz w:val="24"/>
                <w:szCs w:val="24"/>
              </w:rPr>
              <w:t>分； （4）未提供或严重不符：得0分。</w:t>
            </w:r>
          </w:p>
          <w:p w14:paraId="33E9B030">
            <w:pPr>
              <w:numPr>
                <w:ilvl w:val="0"/>
                <w:numId w:val="0"/>
              </w:numPr>
              <w:ind w:left="160"/>
              <w:rPr>
                <w:rFonts w:hint="eastAsia"/>
                <w:color w:val="auto"/>
                <w:sz w:val="24"/>
                <w:szCs w:val="18"/>
                <w:highlight w:val="none"/>
              </w:rPr>
            </w:pPr>
            <w:r>
              <w:rPr>
                <w:rFonts w:hint="eastAsia" w:eastAsia="宋体"/>
                <w:sz w:val="24"/>
                <w:szCs w:val="24"/>
              </w:rPr>
              <w:t>本项最高得15分。</w:t>
            </w:r>
            <w:r>
              <w:rPr>
                <w:rFonts w:hint="eastAsia" w:eastAsia="宋体"/>
                <w:sz w:val="24"/>
                <w:szCs w:val="24"/>
                <w:lang w:val="en-US" w:eastAsia="zh-CN"/>
              </w:rPr>
              <w:t>投标人应</w:t>
            </w:r>
            <w:r>
              <w:rPr>
                <w:rFonts w:hint="eastAsia" w:eastAsia="宋体"/>
                <w:sz w:val="24"/>
                <w:szCs w:val="24"/>
              </w:rPr>
              <w:t>提交《详细功能设计说明文档》，格式自拟</w:t>
            </w:r>
          </w:p>
        </w:tc>
      </w:tr>
      <w:tr w14:paraId="709394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1410" w:hRule="atLeast"/>
          <w:jc w:val="center"/>
        </w:trPr>
        <w:tc>
          <w:tcPr>
            <w:tcW w:w="681" w:type="dxa"/>
            <w:vMerge w:val="continue"/>
            <w:tcBorders>
              <w:left w:val="single" w:color="000000" w:sz="8" w:space="0"/>
              <w:right w:val="single" w:color="000000" w:sz="8" w:space="0"/>
            </w:tcBorders>
            <w:noWrap w:val="0"/>
            <w:vAlign w:val="center"/>
          </w:tcPr>
          <w:p w14:paraId="22FB3059">
            <w:pPr>
              <w:spacing w:line="300" w:lineRule="auto"/>
              <w:jc w:val="center"/>
              <w:rPr>
                <w:rFonts w:ascii="宋体" w:eastAsia="宋体"/>
                <w:b/>
                <w:bCs/>
                <w:color w:val="auto"/>
                <w:sz w:val="24"/>
                <w:szCs w:val="18"/>
                <w:highlight w:val="none"/>
              </w:rPr>
            </w:pP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682B1B4B">
            <w:pPr>
              <w:widowControl/>
              <w:wordWrap w:val="0"/>
              <w:spacing w:line="300" w:lineRule="auto"/>
              <w:jc w:val="center"/>
              <w:textAlignment w:val="top"/>
              <w:rPr>
                <w:rFonts w:hint="eastAsia" w:ascii="宋体" w:hAnsi="宋体" w:eastAsia="宋体"/>
                <w:color w:val="auto"/>
                <w:sz w:val="24"/>
                <w:szCs w:val="18"/>
                <w:highlight w:val="none"/>
                <w:lang w:val="en-US" w:eastAsia="zh-CN"/>
              </w:rPr>
            </w:pPr>
            <w:r>
              <w:rPr>
                <w:rFonts w:hint="eastAsia" w:ascii="宋体" w:hAnsi="宋体" w:eastAsia="宋体" w:cs="宋体"/>
                <w:color w:val="auto"/>
                <w:kern w:val="0"/>
                <w:sz w:val="24"/>
                <w:szCs w:val="18"/>
                <w:highlight w:val="none"/>
                <w:lang w:bidi="ar"/>
              </w:rPr>
              <w:t>3</w:t>
            </w:r>
          </w:p>
        </w:tc>
        <w:tc>
          <w:tcPr>
            <w:tcW w:w="1613" w:type="dxa"/>
            <w:tcBorders>
              <w:top w:val="single" w:color="000000" w:sz="8" w:space="0"/>
              <w:left w:val="single" w:color="000000" w:sz="8" w:space="0"/>
              <w:bottom w:val="single" w:color="000000" w:sz="8" w:space="0"/>
              <w:right w:val="single" w:color="000000" w:sz="8" w:space="0"/>
            </w:tcBorders>
            <w:noWrap w:val="0"/>
            <w:vAlign w:val="center"/>
          </w:tcPr>
          <w:p w14:paraId="73DF9747">
            <w:pPr>
              <w:pStyle w:val="11"/>
              <w:rPr>
                <w:rFonts w:hint="eastAsia"/>
                <w:color w:val="auto"/>
                <w:sz w:val="24"/>
                <w:szCs w:val="15"/>
                <w:highlight w:val="none"/>
                <w:lang w:val="zh-CN"/>
              </w:rPr>
            </w:pPr>
            <w:r>
              <w:rPr>
                <w:rFonts w:hint="eastAsia" w:ascii="楷体" w:hAnsi="楷体" w:eastAsia="宋体"/>
                <w:sz w:val="24"/>
                <w:szCs w:val="21"/>
              </w:rPr>
              <w:t>保障措施及方案</w:t>
            </w:r>
          </w:p>
        </w:tc>
        <w:tc>
          <w:tcPr>
            <w:tcW w:w="736" w:type="dxa"/>
            <w:tcBorders>
              <w:top w:val="single" w:color="000000" w:sz="8" w:space="0"/>
              <w:left w:val="single" w:color="000000" w:sz="8" w:space="0"/>
              <w:bottom w:val="single" w:color="000000" w:sz="8" w:space="0"/>
              <w:right w:val="single" w:color="000000" w:sz="8" w:space="0"/>
            </w:tcBorders>
            <w:noWrap w:val="0"/>
            <w:vAlign w:val="center"/>
          </w:tcPr>
          <w:p w14:paraId="11C3401D">
            <w:pPr>
              <w:pStyle w:val="11"/>
              <w:jc w:val="center"/>
              <w:rPr>
                <w:rFonts w:hint="eastAsia"/>
                <w:color w:val="auto"/>
                <w:sz w:val="24"/>
                <w:szCs w:val="18"/>
                <w:highlight w:val="none"/>
                <w:lang w:val="en-US" w:eastAsia="zh-CN"/>
              </w:rPr>
            </w:pPr>
            <w:r>
              <w:rPr>
                <w:rFonts w:hint="eastAsia" w:ascii="楷体" w:hAnsi="楷体" w:eastAsia="宋体"/>
                <w:sz w:val="24"/>
                <w:szCs w:val="21"/>
              </w:rPr>
              <w:t>15</w:t>
            </w:r>
          </w:p>
        </w:tc>
        <w:tc>
          <w:tcPr>
            <w:tcW w:w="5367" w:type="dxa"/>
            <w:tcBorders>
              <w:top w:val="single" w:color="000000" w:sz="8" w:space="0"/>
              <w:left w:val="single" w:color="000000" w:sz="8" w:space="0"/>
              <w:bottom w:val="single" w:color="000000" w:sz="8" w:space="0"/>
              <w:right w:val="single" w:color="000000" w:sz="8" w:space="0"/>
            </w:tcBorders>
            <w:noWrap w:val="0"/>
            <w:vAlign w:val="center"/>
          </w:tcPr>
          <w:p w14:paraId="735098F6">
            <w:pPr>
              <w:pStyle w:val="11"/>
              <w:rPr>
                <w:rFonts w:hint="eastAsia" w:ascii="楷体" w:hAnsi="楷体" w:eastAsia="宋体"/>
                <w:sz w:val="24"/>
                <w:szCs w:val="21"/>
              </w:rPr>
            </w:pPr>
            <w:r>
              <w:rPr>
                <w:rFonts w:hint="eastAsia" w:ascii="楷体" w:hAnsi="楷体" w:eastAsia="宋体"/>
                <w:sz w:val="24"/>
                <w:szCs w:val="21"/>
              </w:rPr>
              <w:t>评审内容：</w:t>
            </w:r>
          </w:p>
          <w:p w14:paraId="466E4762">
            <w:pPr>
              <w:pStyle w:val="11"/>
              <w:rPr>
                <w:rFonts w:hint="eastAsia" w:ascii="楷体" w:hAnsi="楷体" w:eastAsia="宋体"/>
                <w:sz w:val="24"/>
                <w:szCs w:val="21"/>
              </w:rPr>
            </w:pPr>
            <w:r>
              <w:rPr>
                <w:rFonts w:hint="eastAsia" w:ascii="楷体" w:hAnsi="楷体" w:eastAsia="宋体"/>
                <w:sz w:val="24"/>
                <w:szCs w:val="21"/>
              </w:rPr>
              <w:t>针对本项目提供保障措施及方案，包括：</w:t>
            </w:r>
          </w:p>
          <w:p w14:paraId="22471801">
            <w:pPr>
              <w:pStyle w:val="11"/>
              <w:rPr>
                <w:rFonts w:hint="eastAsia" w:ascii="楷体" w:hAnsi="楷体" w:eastAsia="宋体"/>
                <w:sz w:val="24"/>
                <w:szCs w:val="21"/>
              </w:rPr>
            </w:pPr>
            <w:r>
              <w:rPr>
                <w:rFonts w:hint="eastAsia" w:ascii="楷体" w:hAnsi="楷体" w:eastAsia="宋体"/>
                <w:sz w:val="24"/>
                <w:szCs w:val="21"/>
              </w:rPr>
              <w:t>1、项目进度计划；</w:t>
            </w:r>
          </w:p>
          <w:p w14:paraId="36DBE798">
            <w:pPr>
              <w:pStyle w:val="11"/>
              <w:rPr>
                <w:rFonts w:hint="eastAsia" w:ascii="楷体" w:hAnsi="楷体" w:eastAsia="宋体"/>
                <w:sz w:val="24"/>
                <w:szCs w:val="21"/>
              </w:rPr>
            </w:pPr>
            <w:r>
              <w:rPr>
                <w:rFonts w:hint="eastAsia" w:ascii="楷体" w:hAnsi="楷体" w:eastAsia="宋体"/>
                <w:sz w:val="24"/>
                <w:szCs w:val="21"/>
              </w:rPr>
              <w:t>2、质量保障措施；</w:t>
            </w:r>
          </w:p>
          <w:p w14:paraId="7190E162">
            <w:pPr>
              <w:pStyle w:val="11"/>
              <w:rPr>
                <w:rFonts w:hint="eastAsia" w:ascii="楷体" w:hAnsi="楷体" w:eastAsia="宋体"/>
                <w:sz w:val="24"/>
                <w:szCs w:val="21"/>
              </w:rPr>
            </w:pPr>
            <w:r>
              <w:rPr>
                <w:rFonts w:hint="eastAsia" w:ascii="楷体" w:hAnsi="楷体" w:eastAsia="宋体"/>
                <w:sz w:val="24"/>
                <w:szCs w:val="21"/>
              </w:rPr>
              <w:t>3、技术保障措施；</w:t>
            </w:r>
          </w:p>
          <w:p w14:paraId="7C4EA5D0">
            <w:pPr>
              <w:pStyle w:val="11"/>
              <w:rPr>
                <w:rFonts w:hint="eastAsia" w:ascii="楷体" w:hAnsi="楷体" w:eastAsia="宋体"/>
                <w:sz w:val="24"/>
                <w:szCs w:val="21"/>
              </w:rPr>
            </w:pPr>
            <w:r>
              <w:rPr>
                <w:rFonts w:hint="eastAsia" w:ascii="楷体" w:hAnsi="楷体" w:eastAsia="宋体"/>
                <w:sz w:val="24"/>
                <w:szCs w:val="21"/>
              </w:rPr>
              <w:t>4、应急保障措施。</w:t>
            </w:r>
          </w:p>
          <w:p w14:paraId="348796ED">
            <w:pPr>
              <w:pStyle w:val="11"/>
              <w:rPr>
                <w:rFonts w:hint="eastAsia" w:ascii="楷体" w:hAnsi="楷体" w:eastAsia="宋体"/>
                <w:sz w:val="24"/>
                <w:szCs w:val="21"/>
              </w:rPr>
            </w:pPr>
            <w:r>
              <w:rPr>
                <w:rFonts w:hint="eastAsia" w:ascii="楷体" w:hAnsi="楷体" w:eastAsia="宋体"/>
                <w:sz w:val="24"/>
                <w:szCs w:val="21"/>
              </w:rPr>
              <w:t>评分标准：</w:t>
            </w:r>
          </w:p>
          <w:p w14:paraId="39E0A9F7">
            <w:pPr>
              <w:pStyle w:val="11"/>
              <w:rPr>
                <w:rFonts w:hint="eastAsia" w:ascii="楷体" w:hAnsi="楷体" w:eastAsia="宋体"/>
                <w:sz w:val="24"/>
                <w:szCs w:val="21"/>
              </w:rPr>
            </w:pPr>
            <w:r>
              <w:rPr>
                <w:rFonts w:hint="eastAsia" w:ascii="楷体" w:hAnsi="楷体" w:eastAsia="宋体"/>
                <w:sz w:val="24"/>
                <w:szCs w:val="21"/>
              </w:rPr>
              <w:t>满足以上四项要求得9分，满足以上任意三项要求得6.75分，满足以上任意两项要求得4.5分，满足以上任意一项要求得2.25分，其他不得分。</w:t>
            </w:r>
          </w:p>
          <w:p w14:paraId="080E4473">
            <w:pPr>
              <w:pStyle w:val="11"/>
              <w:rPr>
                <w:rFonts w:hint="eastAsia" w:ascii="楷体" w:hAnsi="楷体" w:eastAsia="宋体"/>
                <w:sz w:val="24"/>
                <w:szCs w:val="21"/>
              </w:rPr>
            </w:pPr>
            <w:r>
              <w:rPr>
                <w:rFonts w:hint="eastAsia" w:ascii="楷体" w:hAnsi="楷体" w:eastAsia="宋体"/>
                <w:sz w:val="24"/>
                <w:szCs w:val="21"/>
              </w:rPr>
              <w:t>在此基础上，专家根据各供应商的具体响应内容按照量化的评审因素指标进一步评审：</w:t>
            </w:r>
          </w:p>
          <w:p w14:paraId="72833AF5">
            <w:pPr>
              <w:pStyle w:val="11"/>
              <w:rPr>
                <w:rFonts w:hint="eastAsia" w:ascii="楷体" w:hAnsi="楷体" w:eastAsia="宋体"/>
                <w:sz w:val="24"/>
                <w:szCs w:val="21"/>
              </w:rPr>
            </w:pPr>
            <w:r>
              <w:rPr>
                <w:rFonts w:hint="eastAsia" w:ascii="楷体" w:hAnsi="楷体" w:eastAsia="宋体"/>
                <w:sz w:val="24"/>
                <w:szCs w:val="21"/>
              </w:rPr>
              <w:t>1.</w:t>
            </w:r>
            <w:r>
              <w:rPr>
                <w:rFonts w:hint="eastAsia" w:ascii="楷体" w:hAnsi="楷体" w:eastAsia="宋体"/>
                <w:sz w:val="24"/>
                <w:szCs w:val="21"/>
              </w:rPr>
              <w:tab/>
            </w:r>
            <w:r>
              <w:rPr>
                <w:rFonts w:hint="eastAsia" w:ascii="楷体" w:hAnsi="楷体" w:eastAsia="宋体"/>
                <w:sz w:val="24"/>
                <w:szCs w:val="21"/>
              </w:rPr>
              <w:t>评审为优（保障措施及方案内容全面、具体、科学合理、可操作性强）的加6分；</w:t>
            </w:r>
          </w:p>
          <w:p w14:paraId="62E2BB1B">
            <w:pPr>
              <w:pStyle w:val="11"/>
              <w:rPr>
                <w:rFonts w:hint="eastAsia" w:ascii="楷体" w:hAnsi="楷体" w:eastAsia="宋体"/>
                <w:sz w:val="24"/>
                <w:szCs w:val="21"/>
              </w:rPr>
            </w:pPr>
            <w:r>
              <w:rPr>
                <w:rFonts w:hint="eastAsia" w:ascii="楷体" w:hAnsi="楷体" w:eastAsia="宋体"/>
                <w:sz w:val="24"/>
                <w:szCs w:val="21"/>
              </w:rPr>
              <w:t>2.</w:t>
            </w:r>
            <w:r>
              <w:rPr>
                <w:rFonts w:hint="eastAsia" w:ascii="楷体" w:hAnsi="楷体" w:eastAsia="宋体"/>
                <w:sz w:val="24"/>
                <w:szCs w:val="21"/>
              </w:rPr>
              <w:tab/>
            </w:r>
            <w:r>
              <w:rPr>
                <w:rFonts w:hint="eastAsia" w:ascii="楷体" w:hAnsi="楷体" w:eastAsia="宋体"/>
                <w:sz w:val="24"/>
                <w:szCs w:val="21"/>
              </w:rPr>
              <w:t>评审为良（保障措施及方案内容较全面、较具体、较科学合理、可操作性较强）加3分；</w:t>
            </w:r>
          </w:p>
          <w:p w14:paraId="4C08266D">
            <w:pPr>
              <w:pStyle w:val="11"/>
              <w:rPr>
                <w:rFonts w:hint="eastAsia" w:ascii="楷体" w:hAnsi="楷体" w:eastAsia="宋体"/>
                <w:sz w:val="24"/>
                <w:szCs w:val="21"/>
              </w:rPr>
            </w:pPr>
            <w:r>
              <w:rPr>
                <w:rFonts w:hint="eastAsia" w:ascii="楷体" w:hAnsi="楷体" w:eastAsia="宋体"/>
                <w:sz w:val="24"/>
                <w:szCs w:val="21"/>
              </w:rPr>
              <w:t>3.</w:t>
            </w:r>
            <w:r>
              <w:rPr>
                <w:rFonts w:hint="eastAsia" w:ascii="楷体" w:hAnsi="楷体" w:eastAsia="宋体"/>
                <w:sz w:val="24"/>
                <w:szCs w:val="21"/>
              </w:rPr>
              <w:tab/>
            </w:r>
            <w:r>
              <w:rPr>
                <w:rFonts w:hint="eastAsia" w:ascii="楷体" w:hAnsi="楷体" w:eastAsia="宋体"/>
                <w:sz w:val="24"/>
                <w:szCs w:val="21"/>
              </w:rPr>
              <w:t>评审为中（保障措施及方案内容具体，科学性及可操作性一般）加1.5分；</w:t>
            </w:r>
          </w:p>
          <w:p w14:paraId="4187B5D1">
            <w:pPr>
              <w:pStyle w:val="11"/>
              <w:rPr>
                <w:rFonts w:hint="eastAsia" w:ascii="宋体" w:hAnsi="宋体" w:eastAsia="宋体"/>
                <w:color w:val="auto"/>
                <w:sz w:val="24"/>
                <w:szCs w:val="18"/>
                <w:highlight w:val="none"/>
              </w:rPr>
            </w:pPr>
            <w:r>
              <w:rPr>
                <w:rFonts w:hint="eastAsia" w:ascii="楷体" w:hAnsi="楷体" w:eastAsia="宋体"/>
                <w:sz w:val="24"/>
                <w:szCs w:val="21"/>
              </w:rPr>
              <w:t>评审为差（保障措施及方案内容不具体、可操作性差或未提供）的不加分；评审为差专家须书面说明理由，并记录在档。</w:t>
            </w:r>
          </w:p>
        </w:tc>
      </w:tr>
      <w:tr w14:paraId="74076F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755" w:hRule="atLeast"/>
          <w:jc w:val="center"/>
        </w:trPr>
        <w:tc>
          <w:tcPr>
            <w:tcW w:w="681" w:type="dxa"/>
            <w:vMerge w:val="continue"/>
            <w:tcBorders>
              <w:left w:val="single" w:color="000000" w:sz="8" w:space="0"/>
              <w:right w:val="single" w:color="000000" w:sz="8" w:space="0"/>
            </w:tcBorders>
            <w:noWrap w:val="0"/>
            <w:vAlign w:val="center"/>
          </w:tcPr>
          <w:p w14:paraId="1E682CC4">
            <w:pPr>
              <w:spacing w:line="300" w:lineRule="auto"/>
              <w:jc w:val="center"/>
              <w:rPr>
                <w:rFonts w:ascii="宋体" w:eastAsia="宋体"/>
                <w:b/>
                <w:bCs/>
                <w:color w:val="auto"/>
                <w:sz w:val="24"/>
                <w:szCs w:val="18"/>
                <w:highlight w:val="none"/>
              </w:rPr>
            </w:pP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650EDBA2">
            <w:pPr>
              <w:widowControl/>
              <w:wordWrap w:val="0"/>
              <w:spacing w:line="300" w:lineRule="auto"/>
              <w:jc w:val="center"/>
              <w:textAlignment w:val="top"/>
              <w:rPr>
                <w:rFonts w:hint="eastAsia" w:ascii="宋体" w:hAnsi="宋体" w:eastAsia="宋体"/>
                <w:color w:val="auto"/>
                <w:sz w:val="24"/>
                <w:szCs w:val="18"/>
                <w:highlight w:val="none"/>
                <w:lang w:eastAsia="zh-CN"/>
              </w:rPr>
            </w:pPr>
            <w:r>
              <w:rPr>
                <w:rFonts w:hint="eastAsia" w:ascii="宋体" w:hAnsi="宋体" w:eastAsia="宋体" w:cs="宋体"/>
                <w:color w:val="auto"/>
                <w:kern w:val="0"/>
                <w:sz w:val="24"/>
                <w:szCs w:val="18"/>
                <w:highlight w:val="none"/>
                <w:lang w:val="en-US" w:eastAsia="zh-CN" w:bidi="ar"/>
              </w:rPr>
              <w:t>4</w:t>
            </w:r>
          </w:p>
        </w:tc>
        <w:tc>
          <w:tcPr>
            <w:tcW w:w="1613" w:type="dxa"/>
            <w:tcBorders>
              <w:top w:val="single" w:color="000000" w:sz="8" w:space="0"/>
              <w:left w:val="single" w:color="000000" w:sz="8" w:space="0"/>
              <w:bottom w:val="single" w:color="000000" w:sz="8" w:space="0"/>
              <w:right w:val="single" w:color="000000" w:sz="8" w:space="0"/>
            </w:tcBorders>
            <w:noWrap w:val="0"/>
            <w:vAlign w:val="center"/>
          </w:tcPr>
          <w:p w14:paraId="56F35F77">
            <w:pPr>
              <w:rPr>
                <w:rFonts w:eastAsia="宋体"/>
                <w:sz w:val="24"/>
                <w:szCs w:val="24"/>
              </w:rPr>
            </w:pPr>
            <w:r>
              <w:rPr>
                <w:rFonts w:hint="eastAsia" w:ascii="楷体" w:hAnsi="楷体" w:eastAsia="宋体"/>
                <w:sz w:val="24"/>
                <w:szCs w:val="21"/>
              </w:rPr>
              <w:t>项目完成（服务期满）后的服务承诺</w:t>
            </w:r>
          </w:p>
          <w:p w14:paraId="027FCED8">
            <w:pPr>
              <w:pStyle w:val="11"/>
              <w:rPr>
                <w:rFonts w:hint="eastAsia"/>
                <w:color w:val="auto"/>
                <w:sz w:val="24"/>
                <w:szCs w:val="15"/>
                <w:highlight w:val="none"/>
                <w:lang w:val="zh-CN"/>
              </w:rPr>
            </w:pPr>
          </w:p>
        </w:tc>
        <w:tc>
          <w:tcPr>
            <w:tcW w:w="736" w:type="dxa"/>
            <w:tcBorders>
              <w:top w:val="single" w:color="000000" w:sz="8" w:space="0"/>
              <w:left w:val="single" w:color="000000" w:sz="8" w:space="0"/>
              <w:bottom w:val="single" w:color="000000" w:sz="8" w:space="0"/>
              <w:right w:val="single" w:color="000000" w:sz="8" w:space="0"/>
            </w:tcBorders>
            <w:noWrap w:val="0"/>
            <w:vAlign w:val="center"/>
          </w:tcPr>
          <w:p w14:paraId="1AB00F3A">
            <w:pPr>
              <w:pStyle w:val="11"/>
              <w:jc w:val="center"/>
              <w:rPr>
                <w:rFonts w:hint="default" w:eastAsia="宋体"/>
                <w:color w:val="auto"/>
                <w:sz w:val="24"/>
                <w:szCs w:val="18"/>
                <w:highlight w:val="none"/>
                <w:lang w:val="en-US" w:eastAsia="zh-CN"/>
              </w:rPr>
            </w:pPr>
            <w:r>
              <w:rPr>
                <w:rFonts w:hint="eastAsia" w:ascii="楷体" w:hAnsi="楷体" w:eastAsia="宋体"/>
                <w:sz w:val="24"/>
                <w:szCs w:val="21"/>
              </w:rPr>
              <w:t>5</w:t>
            </w:r>
          </w:p>
        </w:tc>
        <w:tc>
          <w:tcPr>
            <w:tcW w:w="5367" w:type="dxa"/>
            <w:tcBorders>
              <w:top w:val="single" w:color="000000" w:sz="8" w:space="0"/>
              <w:left w:val="single" w:color="000000" w:sz="8" w:space="0"/>
              <w:bottom w:val="single" w:color="000000" w:sz="8" w:space="0"/>
              <w:right w:val="single" w:color="000000" w:sz="8" w:space="0"/>
            </w:tcBorders>
            <w:noWrap w:val="0"/>
            <w:vAlign w:val="center"/>
          </w:tcPr>
          <w:p w14:paraId="2EAE8FFD">
            <w:pPr>
              <w:pStyle w:val="11"/>
              <w:rPr>
                <w:rFonts w:hint="eastAsia" w:ascii="楷体" w:hAnsi="楷体" w:eastAsia="宋体"/>
                <w:sz w:val="24"/>
                <w:szCs w:val="21"/>
              </w:rPr>
            </w:pPr>
            <w:r>
              <w:rPr>
                <w:rFonts w:hint="eastAsia" w:ascii="楷体" w:hAnsi="楷体" w:eastAsia="宋体"/>
                <w:sz w:val="24"/>
                <w:szCs w:val="21"/>
              </w:rPr>
              <w:t>评审内容：</w:t>
            </w:r>
          </w:p>
          <w:p w14:paraId="2C5282A8">
            <w:pPr>
              <w:pStyle w:val="11"/>
              <w:rPr>
                <w:rFonts w:hint="eastAsia" w:ascii="楷体" w:hAnsi="楷体" w:eastAsia="宋体"/>
                <w:sz w:val="24"/>
                <w:szCs w:val="21"/>
              </w:rPr>
            </w:pPr>
            <w:r>
              <w:rPr>
                <w:rFonts w:hint="eastAsia" w:ascii="楷体" w:hAnsi="楷体" w:eastAsia="宋体"/>
                <w:sz w:val="24"/>
                <w:szCs w:val="21"/>
              </w:rPr>
              <w:t>做出项目完成后的服务承诺，明确承诺内容。投标人承诺服务期满后，主动交接工作并提供全面、完整项目文档。</w:t>
            </w:r>
          </w:p>
          <w:p w14:paraId="6C7152DA">
            <w:pPr>
              <w:pStyle w:val="11"/>
              <w:rPr>
                <w:rFonts w:hint="eastAsia" w:ascii="楷体" w:hAnsi="楷体" w:eastAsia="宋体"/>
                <w:sz w:val="24"/>
                <w:szCs w:val="21"/>
              </w:rPr>
            </w:pPr>
            <w:r>
              <w:rPr>
                <w:rFonts w:hint="eastAsia" w:ascii="楷体" w:hAnsi="楷体" w:eastAsia="宋体"/>
                <w:sz w:val="24"/>
                <w:szCs w:val="21"/>
              </w:rPr>
              <w:t>评分标准：</w:t>
            </w:r>
          </w:p>
          <w:p w14:paraId="4C15B3F2">
            <w:pPr>
              <w:pStyle w:val="11"/>
              <w:rPr>
                <w:rFonts w:hint="eastAsia"/>
                <w:color w:val="auto"/>
                <w:sz w:val="24"/>
                <w:szCs w:val="18"/>
                <w:highlight w:val="none"/>
              </w:rPr>
            </w:pPr>
            <w:r>
              <w:rPr>
                <w:rFonts w:hint="eastAsia" w:ascii="楷体" w:hAnsi="楷体" w:eastAsia="宋体"/>
                <w:sz w:val="24"/>
                <w:szCs w:val="21"/>
              </w:rPr>
              <w:t>要求提供承诺函（格式自定）加盖投标人公章作为得分依据，承诺内容满足要求的得5分，未提供承诺或承诺内容不满足要求不得分。</w:t>
            </w:r>
          </w:p>
        </w:tc>
      </w:tr>
      <w:tr w14:paraId="6AC115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restart"/>
            <w:tcBorders>
              <w:top w:val="single" w:color="000000" w:sz="8" w:space="0"/>
              <w:left w:val="single" w:color="000000" w:sz="8" w:space="0"/>
              <w:bottom w:val="single" w:color="000000" w:sz="8" w:space="0"/>
              <w:right w:val="single" w:color="000000" w:sz="8" w:space="0"/>
            </w:tcBorders>
            <w:noWrap w:val="0"/>
            <w:vAlign w:val="center"/>
          </w:tcPr>
          <w:p w14:paraId="6CBD4374">
            <w:pPr>
              <w:widowControl/>
              <w:wordWrap w:val="0"/>
              <w:spacing w:line="300" w:lineRule="auto"/>
              <w:jc w:val="center"/>
              <w:rPr>
                <w:rFonts w:eastAsia="宋体"/>
                <w:b/>
                <w:bCs/>
                <w:color w:val="auto"/>
                <w:sz w:val="24"/>
                <w:szCs w:val="18"/>
                <w:highlight w:val="none"/>
              </w:rPr>
            </w:pPr>
            <w:r>
              <w:rPr>
                <w:rFonts w:hint="eastAsia" w:ascii="宋体" w:hAnsi="宋体" w:eastAsia="宋体" w:cs="宋体"/>
                <w:b/>
                <w:bCs/>
                <w:color w:val="auto"/>
                <w:kern w:val="0"/>
                <w:sz w:val="24"/>
                <w:szCs w:val="18"/>
                <w:highlight w:val="none"/>
                <w:lang w:bidi="ar"/>
              </w:rPr>
              <w:t>4</w:t>
            </w:r>
          </w:p>
        </w:tc>
        <w:tc>
          <w:tcPr>
            <w:tcW w:w="3030" w:type="dxa"/>
            <w:gridSpan w:val="3"/>
            <w:tcBorders>
              <w:top w:val="single" w:color="000000" w:sz="8" w:space="0"/>
              <w:left w:val="single" w:color="000000" w:sz="8" w:space="0"/>
              <w:bottom w:val="single" w:color="000000" w:sz="8" w:space="0"/>
              <w:right w:val="single" w:color="000000" w:sz="8" w:space="0"/>
            </w:tcBorders>
            <w:noWrap w:val="0"/>
            <w:vAlign w:val="center"/>
          </w:tcPr>
          <w:p w14:paraId="62A3BA18">
            <w:pPr>
              <w:widowControl/>
              <w:wordWrap w:val="0"/>
              <w:spacing w:line="300" w:lineRule="auto"/>
              <w:jc w:val="center"/>
              <w:rPr>
                <w:rFonts w:eastAsia="宋体"/>
                <w:b/>
                <w:bCs/>
                <w:color w:val="auto"/>
                <w:sz w:val="24"/>
                <w:szCs w:val="18"/>
                <w:highlight w:val="none"/>
              </w:rPr>
            </w:pPr>
            <w:r>
              <w:rPr>
                <w:rFonts w:hint="eastAsia" w:ascii="宋体" w:hAnsi="宋体" w:eastAsia="宋体" w:cs="宋体"/>
                <w:b/>
                <w:bCs/>
                <w:color w:val="auto"/>
                <w:kern w:val="0"/>
                <w:sz w:val="24"/>
                <w:szCs w:val="18"/>
                <w:highlight w:val="none"/>
                <w:lang w:bidi="ar"/>
              </w:rPr>
              <w:t>诚信情况</w:t>
            </w:r>
          </w:p>
        </w:tc>
        <w:tc>
          <w:tcPr>
            <w:tcW w:w="5367" w:type="dxa"/>
            <w:tcBorders>
              <w:top w:val="single" w:color="000000" w:sz="8" w:space="0"/>
              <w:left w:val="single" w:color="000000" w:sz="8" w:space="0"/>
              <w:bottom w:val="single" w:color="000000" w:sz="8" w:space="0"/>
              <w:right w:val="single" w:color="000000" w:sz="8" w:space="0"/>
            </w:tcBorders>
            <w:noWrap w:val="0"/>
            <w:vAlign w:val="center"/>
          </w:tcPr>
          <w:p w14:paraId="6EC9FBD4">
            <w:pPr>
              <w:widowControl/>
              <w:wordWrap w:val="0"/>
              <w:spacing w:line="300" w:lineRule="auto"/>
              <w:jc w:val="center"/>
              <w:rPr>
                <w:rFonts w:eastAsia="宋体"/>
                <w:b/>
                <w:bCs/>
                <w:color w:val="auto"/>
                <w:sz w:val="24"/>
                <w:szCs w:val="18"/>
                <w:highlight w:val="none"/>
              </w:rPr>
            </w:pPr>
            <w:r>
              <w:rPr>
                <w:rFonts w:hint="eastAsia" w:eastAsia="宋体"/>
                <w:b/>
                <w:bCs/>
                <w:color w:val="auto"/>
                <w:sz w:val="24"/>
                <w:szCs w:val="18"/>
                <w:highlight w:val="none"/>
              </w:rPr>
              <w:t>5</w:t>
            </w:r>
          </w:p>
        </w:tc>
      </w:tr>
      <w:tr w14:paraId="0F2337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574F887E">
            <w:pPr>
              <w:spacing w:line="300" w:lineRule="auto"/>
              <w:jc w:val="center"/>
              <w:rPr>
                <w:rFonts w:ascii="宋体" w:eastAsia="宋体"/>
                <w:b/>
                <w:bCs/>
                <w:color w:val="auto"/>
                <w:sz w:val="24"/>
                <w:szCs w:val="18"/>
                <w:highlight w:val="none"/>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1B1C0EB4">
            <w:pPr>
              <w:widowControl/>
              <w:wordWrap w:val="0"/>
              <w:spacing w:line="300" w:lineRule="auto"/>
              <w:jc w:val="center"/>
              <w:rPr>
                <w:rFonts w:eastAsia="宋体"/>
                <w:color w:val="auto"/>
                <w:sz w:val="24"/>
                <w:szCs w:val="18"/>
                <w:highlight w:val="none"/>
              </w:rPr>
            </w:pPr>
            <w:r>
              <w:rPr>
                <w:rFonts w:ascii="宋体" w:hAnsi="宋体" w:eastAsia="宋体" w:cs="宋体"/>
                <w:color w:val="auto"/>
                <w:kern w:val="0"/>
                <w:sz w:val="24"/>
                <w:szCs w:val="18"/>
                <w:highlight w:val="none"/>
                <w:lang w:bidi="ar"/>
              </w:rPr>
              <w:t>序号</w:t>
            </w:r>
          </w:p>
        </w:tc>
        <w:tc>
          <w:tcPr>
            <w:tcW w:w="1613"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75E3FFD3">
            <w:pPr>
              <w:widowControl/>
              <w:wordWrap w:val="0"/>
              <w:spacing w:line="300" w:lineRule="auto"/>
              <w:jc w:val="center"/>
              <w:rPr>
                <w:rFonts w:eastAsia="宋体"/>
                <w:color w:val="auto"/>
                <w:sz w:val="24"/>
                <w:szCs w:val="18"/>
                <w:highlight w:val="none"/>
              </w:rPr>
            </w:pPr>
            <w:r>
              <w:rPr>
                <w:rFonts w:ascii="宋体" w:hAnsi="宋体" w:eastAsia="宋体" w:cs="宋体"/>
                <w:color w:val="auto"/>
                <w:kern w:val="0"/>
                <w:sz w:val="24"/>
                <w:szCs w:val="18"/>
                <w:highlight w:val="none"/>
                <w:lang w:bidi="ar"/>
              </w:rPr>
              <w:t>评分因素</w:t>
            </w:r>
          </w:p>
        </w:tc>
        <w:tc>
          <w:tcPr>
            <w:tcW w:w="736"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229206B1">
            <w:pPr>
              <w:widowControl/>
              <w:wordWrap w:val="0"/>
              <w:spacing w:line="300" w:lineRule="auto"/>
              <w:jc w:val="center"/>
              <w:rPr>
                <w:rFonts w:hint="eastAsia" w:eastAsia="宋体"/>
                <w:color w:val="auto"/>
                <w:sz w:val="24"/>
                <w:szCs w:val="18"/>
                <w:highlight w:val="none"/>
                <w:lang w:eastAsia="zh-CN"/>
              </w:rPr>
            </w:pPr>
            <w:r>
              <w:rPr>
                <w:rFonts w:hint="eastAsia" w:ascii="宋体" w:hAnsi="宋体" w:eastAsia="宋体" w:cs="宋体"/>
                <w:color w:val="auto"/>
                <w:kern w:val="0"/>
                <w:sz w:val="24"/>
                <w:szCs w:val="18"/>
                <w:highlight w:val="none"/>
                <w:lang w:val="en-US" w:eastAsia="zh-CN" w:bidi="ar"/>
              </w:rPr>
              <w:t>分值</w:t>
            </w:r>
          </w:p>
        </w:tc>
        <w:tc>
          <w:tcPr>
            <w:tcW w:w="5367"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647BB5A7">
            <w:pPr>
              <w:widowControl/>
              <w:wordWrap w:val="0"/>
              <w:spacing w:line="300" w:lineRule="auto"/>
              <w:jc w:val="center"/>
              <w:rPr>
                <w:rFonts w:eastAsia="宋体"/>
                <w:color w:val="auto"/>
                <w:sz w:val="24"/>
                <w:szCs w:val="18"/>
                <w:highlight w:val="none"/>
              </w:rPr>
            </w:pPr>
            <w:r>
              <w:rPr>
                <w:rFonts w:ascii="宋体" w:hAnsi="宋体" w:eastAsia="宋体" w:cs="宋体"/>
                <w:color w:val="auto"/>
                <w:kern w:val="0"/>
                <w:sz w:val="24"/>
                <w:szCs w:val="18"/>
                <w:highlight w:val="none"/>
                <w:lang w:bidi="ar"/>
              </w:rPr>
              <w:t>评分准则</w:t>
            </w:r>
          </w:p>
        </w:tc>
      </w:tr>
      <w:tr w14:paraId="14BA46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1" w:type="dxa"/>
            <w:vMerge w:val="continue"/>
            <w:tcBorders>
              <w:top w:val="single" w:color="000000" w:sz="8" w:space="0"/>
              <w:left w:val="single" w:color="000000" w:sz="8" w:space="0"/>
              <w:bottom w:val="single" w:color="000000" w:sz="8" w:space="0"/>
              <w:right w:val="single" w:color="000000" w:sz="8" w:space="0"/>
            </w:tcBorders>
            <w:noWrap w:val="0"/>
            <w:vAlign w:val="center"/>
          </w:tcPr>
          <w:p w14:paraId="74B3F6BC">
            <w:pPr>
              <w:spacing w:line="300" w:lineRule="auto"/>
              <w:jc w:val="center"/>
              <w:rPr>
                <w:rFonts w:ascii="宋体" w:eastAsia="宋体"/>
                <w:b/>
                <w:bCs/>
                <w:color w:val="auto"/>
                <w:sz w:val="24"/>
                <w:szCs w:val="18"/>
                <w:highlight w:val="none"/>
              </w:rPr>
            </w:pPr>
          </w:p>
        </w:tc>
        <w:tc>
          <w:tcPr>
            <w:tcW w:w="681" w:type="dxa"/>
            <w:tcBorders>
              <w:top w:val="single" w:color="000000" w:sz="8" w:space="0"/>
              <w:left w:val="single" w:color="000000" w:sz="8" w:space="0"/>
              <w:bottom w:val="single" w:color="000000" w:sz="8" w:space="0"/>
              <w:right w:val="single" w:color="000000" w:sz="8" w:space="0"/>
            </w:tcBorders>
            <w:noWrap w:val="0"/>
            <w:vAlign w:val="center"/>
          </w:tcPr>
          <w:p w14:paraId="67094633">
            <w:pPr>
              <w:widowControl/>
              <w:spacing w:line="30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1</w:t>
            </w:r>
          </w:p>
        </w:tc>
        <w:tc>
          <w:tcPr>
            <w:tcW w:w="1613" w:type="dxa"/>
            <w:tcBorders>
              <w:top w:val="single" w:color="000000" w:sz="8" w:space="0"/>
              <w:left w:val="single" w:color="000000" w:sz="8" w:space="0"/>
              <w:bottom w:val="single" w:color="000000" w:sz="8" w:space="0"/>
              <w:right w:val="single" w:color="000000" w:sz="8" w:space="0"/>
            </w:tcBorders>
            <w:noWrap w:val="0"/>
            <w:vAlign w:val="center"/>
          </w:tcPr>
          <w:p w14:paraId="6BCB361A">
            <w:pPr>
              <w:widowControl/>
              <w:wordWrap w:val="0"/>
              <w:spacing w:line="300" w:lineRule="auto"/>
              <w:jc w:val="center"/>
              <w:textAlignment w:val="top"/>
              <w:rPr>
                <w:rFonts w:eastAsia="宋体"/>
                <w:color w:val="auto"/>
                <w:sz w:val="24"/>
                <w:szCs w:val="18"/>
                <w:highlight w:val="none"/>
              </w:rPr>
            </w:pPr>
            <w:r>
              <w:rPr>
                <w:rFonts w:hint="eastAsia" w:eastAsia="宋体"/>
                <w:color w:val="auto"/>
                <w:sz w:val="24"/>
                <w:szCs w:val="18"/>
                <w:highlight w:val="none"/>
              </w:rPr>
              <w:t>诚信</w:t>
            </w:r>
          </w:p>
        </w:tc>
        <w:tc>
          <w:tcPr>
            <w:tcW w:w="736" w:type="dxa"/>
            <w:tcBorders>
              <w:top w:val="single" w:color="000000" w:sz="8" w:space="0"/>
              <w:left w:val="single" w:color="000000" w:sz="8" w:space="0"/>
              <w:bottom w:val="single" w:color="000000" w:sz="8" w:space="0"/>
              <w:right w:val="single" w:color="000000" w:sz="8" w:space="0"/>
            </w:tcBorders>
            <w:noWrap w:val="0"/>
            <w:vAlign w:val="center"/>
          </w:tcPr>
          <w:p w14:paraId="6CA3AF90">
            <w:pPr>
              <w:widowControl/>
              <w:wordWrap w:val="0"/>
              <w:spacing w:line="300" w:lineRule="auto"/>
              <w:jc w:val="center"/>
              <w:textAlignment w:val="top"/>
              <w:rPr>
                <w:rFonts w:eastAsia="宋体"/>
                <w:color w:val="auto"/>
                <w:sz w:val="24"/>
                <w:szCs w:val="18"/>
                <w:highlight w:val="none"/>
              </w:rPr>
            </w:pPr>
            <w:r>
              <w:rPr>
                <w:rFonts w:hint="eastAsia" w:eastAsia="宋体"/>
                <w:color w:val="auto"/>
                <w:sz w:val="24"/>
                <w:szCs w:val="18"/>
                <w:highlight w:val="none"/>
              </w:rPr>
              <w:t>5</w:t>
            </w:r>
          </w:p>
        </w:tc>
        <w:tc>
          <w:tcPr>
            <w:tcW w:w="5367" w:type="dxa"/>
            <w:tcBorders>
              <w:top w:val="single" w:color="000000" w:sz="8" w:space="0"/>
              <w:left w:val="single" w:color="000000" w:sz="8" w:space="0"/>
              <w:bottom w:val="single" w:color="000000" w:sz="8" w:space="0"/>
              <w:right w:val="single" w:color="000000" w:sz="8" w:space="0"/>
            </w:tcBorders>
            <w:noWrap w:val="0"/>
            <w:vAlign w:val="center"/>
          </w:tcPr>
          <w:p w14:paraId="3B2447C1">
            <w:pPr>
              <w:widowControl/>
              <w:wordWrap w:val="0"/>
              <w:spacing w:line="300" w:lineRule="auto"/>
              <w:jc w:val="left"/>
              <w:textAlignment w:val="top"/>
              <w:rPr>
                <w:rFonts w:eastAsia="宋体"/>
                <w:color w:val="auto"/>
                <w:sz w:val="24"/>
                <w:szCs w:val="18"/>
                <w:highlight w:val="none"/>
              </w:rPr>
            </w:pPr>
            <w:r>
              <w:rPr>
                <w:rFonts w:hint="eastAsia" w:eastAsia="宋体" w:cs="宋体"/>
                <w:color w:val="auto"/>
                <w:sz w:val="24"/>
                <w:szCs w:val="18"/>
                <w:highlight w:val="none"/>
              </w:rPr>
              <w:t>投标人在参与政府采购活动中存在诚信相关问题且在主管部门相关处理措施实施期限内的，本项不得分，否则得满分。投标人无需提供任何证明材料，由工作人员向评审委员会提供相关信息。</w:t>
            </w:r>
          </w:p>
        </w:tc>
      </w:tr>
    </w:tbl>
    <w:p w14:paraId="63F09714">
      <w:pPr>
        <w:pStyle w:val="24"/>
        <w:rPr>
          <w:rFonts w:hint="eastAsia" w:ascii="仿宋" w:hAnsi="仿宋" w:eastAsia="仿宋" w:cs="仿宋"/>
          <w:color w:val="auto"/>
          <w:u w:val="single"/>
        </w:rPr>
      </w:pPr>
    </w:p>
    <w:p w14:paraId="5C034420">
      <w:pPr>
        <w:spacing w:line="240" w:lineRule="auto"/>
        <w:ind w:firstLine="640" w:firstLineChars="200"/>
        <w:jc w:val="left"/>
        <w:outlineLvl w:val="9"/>
        <w:rPr>
          <w:rFonts w:ascii="仿宋" w:hAnsi="仿宋" w:eastAsia="仿宋" w:cs="仿宋"/>
          <w:color w:val="auto"/>
        </w:rPr>
      </w:pPr>
      <w:r>
        <w:rPr>
          <w:rFonts w:hint="eastAsia" w:ascii="仿宋" w:hAnsi="仿宋" w:eastAsia="仿宋" w:cs="仿宋"/>
          <w:color w:val="auto"/>
        </w:rPr>
        <w:t>二、合同管理安排</w:t>
      </w:r>
    </w:p>
    <w:p w14:paraId="4B5FF7FE">
      <w:pPr>
        <w:spacing w:line="560" w:lineRule="exact"/>
        <w:ind w:firstLine="640" w:firstLineChars="200"/>
        <w:jc w:val="left"/>
        <w:outlineLvl w:val="1"/>
        <w:rPr>
          <w:rFonts w:ascii="仿宋" w:hAnsi="仿宋" w:eastAsia="仿宋" w:cs="仿宋"/>
          <w:color w:val="auto"/>
        </w:rPr>
      </w:pPr>
      <w:r>
        <w:rPr>
          <w:rFonts w:hint="eastAsia" w:ascii="仿宋" w:hAnsi="仿宋" w:eastAsia="仿宋" w:cs="仿宋"/>
          <w:color w:val="auto"/>
        </w:rPr>
        <w:t>（一）合同类型</w:t>
      </w:r>
    </w:p>
    <w:p w14:paraId="10E2C0CC">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rPr>
        <w:t>□买卖合同</w:t>
      </w:r>
    </w:p>
    <w:p w14:paraId="5F66D486">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rPr>
        <w:t>□建设工程合同</w:t>
      </w:r>
    </w:p>
    <w:p w14:paraId="3733AE68">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rPr>
        <w:t>□技术合同</w:t>
      </w:r>
    </w:p>
    <w:p w14:paraId="3A59A93E">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rPr>
        <w:t>□物业服务合同</w:t>
      </w:r>
    </w:p>
    <w:p w14:paraId="23F76BD7">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rPr>
        <w:t>□委托合同</w:t>
      </w:r>
    </w:p>
    <w:p w14:paraId="47D5AF42">
      <w:pPr>
        <w:spacing w:line="560" w:lineRule="exact"/>
        <w:ind w:firstLine="640" w:firstLineChars="200"/>
        <w:jc w:val="left"/>
        <w:rPr>
          <w:rFonts w:hint="default" w:ascii="仿宋" w:hAnsi="仿宋" w:eastAsia="仿宋" w:cs="仿宋"/>
          <w:color w:val="auto"/>
          <w:u w:val="single"/>
          <w:lang w:val="en-US" w:eastAsia="zh-CN"/>
        </w:rPr>
      </w:pPr>
      <w:r>
        <w:rPr>
          <w:rFonts w:hint="eastAsia" w:ascii="仿宋" w:hAnsi="仿宋" w:eastAsia="仿宋" w:cs="仿宋"/>
          <w:color w:val="auto"/>
          <w:lang w:eastAsia="zh-CN"/>
        </w:rPr>
        <w:t>☑</w:t>
      </w:r>
      <w:r>
        <w:rPr>
          <w:rFonts w:hint="eastAsia" w:ascii="仿宋" w:hAnsi="仿宋" w:eastAsia="仿宋" w:cs="仿宋"/>
          <w:color w:val="auto"/>
        </w:rPr>
        <w:t>其他：</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服务类</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p>
    <w:p w14:paraId="5DF25550">
      <w:pPr>
        <w:spacing w:line="560" w:lineRule="exact"/>
        <w:ind w:firstLine="640" w:firstLineChars="200"/>
        <w:jc w:val="left"/>
        <w:rPr>
          <w:rFonts w:ascii="仿宋" w:hAnsi="仿宋" w:eastAsia="仿宋" w:cs="仿宋"/>
          <w:color w:val="auto"/>
          <w:u w:val="single"/>
        </w:rPr>
      </w:pPr>
      <w:r>
        <w:rPr>
          <w:rFonts w:hint="eastAsia" w:ascii="仿宋" w:hAnsi="仿宋" w:eastAsia="仿宋" w:cs="仿宋"/>
          <w:color w:val="auto"/>
        </w:rPr>
        <w:t>选择合同类型的理由：</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该项目为软件服务类。</w:t>
      </w:r>
    </w:p>
    <w:p w14:paraId="1575ECA3">
      <w:pPr>
        <w:spacing w:line="560" w:lineRule="exact"/>
        <w:ind w:firstLine="640" w:firstLineChars="200"/>
        <w:jc w:val="left"/>
        <w:outlineLvl w:val="1"/>
        <w:rPr>
          <w:rFonts w:ascii="仿宋" w:hAnsi="仿宋" w:eastAsia="仿宋" w:cs="仿宋"/>
          <w:color w:val="auto"/>
        </w:rPr>
      </w:pPr>
      <w:r>
        <w:rPr>
          <w:rFonts w:hint="eastAsia" w:ascii="仿宋" w:hAnsi="仿宋" w:eastAsia="仿宋" w:cs="仿宋"/>
          <w:color w:val="auto"/>
        </w:rPr>
        <w:t>（二）定价方式</w:t>
      </w:r>
    </w:p>
    <w:p w14:paraId="73498A8F">
      <w:pPr>
        <w:spacing w:line="560" w:lineRule="exact"/>
        <w:ind w:firstLine="640" w:firstLineChars="200"/>
        <w:jc w:val="left"/>
        <w:rPr>
          <w:rFonts w:ascii="仿宋" w:hAnsi="仿宋" w:eastAsia="仿宋" w:cs="仿宋"/>
          <w:color w:val="auto"/>
          <w:u w:val="single"/>
        </w:rPr>
      </w:pPr>
      <w:r>
        <w:rPr>
          <w:rFonts w:hint="eastAsia" w:ascii="仿宋" w:hAnsi="仿宋" w:eastAsia="仿宋" w:cs="仿宋"/>
          <w:color w:val="auto"/>
          <w:lang w:eastAsia="zh-CN"/>
        </w:rPr>
        <w:t>☑</w:t>
      </w:r>
      <w:r>
        <w:rPr>
          <w:rFonts w:hint="eastAsia" w:ascii="仿宋" w:hAnsi="仿宋" w:eastAsia="仿宋" w:cs="仿宋"/>
          <w:color w:val="auto"/>
        </w:rPr>
        <w:t>固定总价，要求：</w:t>
      </w:r>
      <w:r>
        <w:rPr>
          <w:rFonts w:hint="eastAsia" w:ascii="仿宋" w:hAnsi="仿宋" w:eastAsia="仿宋" w:cs="仿宋"/>
          <w:color w:val="auto"/>
          <w:u w:val="single"/>
        </w:rPr>
        <w:t xml:space="preserve"> </w:t>
      </w:r>
      <w:r>
        <w:rPr>
          <w:rFonts w:hint="eastAsia" w:ascii="仿宋" w:hAnsi="仿宋" w:eastAsia="仿宋"/>
          <w:u w:val="single"/>
        </w:rPr>
        <w:t>年度预算支付金额上限</w:t>
      </w:r>
    </w:p>
    <w:p w14:paraId="797FE69C">
      <w:pPr>
        <w:spacing w:line="560" w:lineRule="exact"/>
        <w:ind w:firstLine="640" w:firstLineChars="200"/>
        <w:jc w:val="left"/>
        <w:rPr>
          <w:rFonts w:hint="eastAsia" w:ascii="仿宋" w:hAnsi="仿宋" w:eastAsia="仿宋" w:cs="仿宋"/>
          <w:color w:val="auto"/>
          <w:lang w:val="en-US" w:eastAsia="zh-CN"/>
        </w:rPr>
      </w:pPr>
      <w:r>
        <w:rPr>
          <w:rFonts w:hint="eastAsia" w:ascii="仿宋" w:hAnsi="仿宋" w:eastAsia="仿宋" w:cs="仿宋"/>
          <w:color w:val="auto"/>
          <w:lang w:eastAsia="zh-CN"/>
        </w:rPr>
        <w:t>□</w:t>
      </w:r>
      <w:r>
        <w:rPr>
          <w:rFonts w:hint="eastAsia" w:ascii="仿宋" w:hAnsi="仿宋" w:eastAsia="仿宋" w:cs="仿宋"/>
          <w:color w:val="auto"/>
        </w:rPr>
        <w:t>固定单价，要求：</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 xml:space="preserve"> </w:t>
      </w:r>
    </w:p>
    <w:p w14:paraId="421D762B">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rPr>
        <w:t>□成本补偿，要求：</w:t>
      </w:r>
      <w:r>
        <w:rPr>
          <w:rFonts w:hint="eastAsia" w:ascii="仿宋" w:hAnsi="仿宋" w:eastAsia="仿宋" w:cs="仿宋"/>
          <w:color w:val="auto"/>
          <w:u w:val="single"/>
        </w:rPr>
        <w:t xml:space="preserve">                     </w:t>
      </w:r>
    </w:p>
    <w:p w14:paraId="3B23AF57">
      <w:pPr>
        <w:spacing w:line="560" w:lineRule="exact"/>
        <w:ind w:firstLine="640" w:firstLineChars="200"/>
        <w:jc w:val="left"/>
        <w:rPr>
          <w:rFonts w:ascii="仿宋" w:hAnsi="仿宋" w:eastAsia="仿宋" w:cs="仿宋"/>
          <w:color w:val="auto"/>
          <w:u w:val="single"/>
        </w:rPr>
      </w:pPr>
      <w:r>
        <w:rPr>
          <w:rFonts w:hint="eastAsia" w:ascii="仿宋" w:hAnsi="仿宋" w:eastAsia="仿宋" w:cs="仿宋"/>
          <w:color w:val="auto"/>
        </w:rPr>
        <w:t>□绩效激励，要求：</w:t>
      </w:r>
      <w:r>
        <w:rPr>
          <w:rFonts w:hint="eastAsia" w:ascii="仿宋" w:hAnsi="仿宋" w:eastAsia="仿宋" w:cs="仿宋"/>
          <w:color w:val="auto"/>
          <w:u w:val="single"/>
        </w:rPr>
        <w:t xml:space="preserve">                     </w:t>
      </w:r>
    </w:p>
    <w:p w14:paraId="4881DB38">
      <w:pPr>
        <w:spacing w:line="560" w:lineRule="exact"/>
        <w:ind w:firstLine="640" w:firstLineChars="200"/>
        <w:jc w:val="left"/>
        <w:rPr>
          <w:rFonts w:ascii="仿宋" w:hAnsi="仿宋" w:eastAsia="仿宋" w:cs="仿宋"/>
          <w:color w:val="auto"/>
          <w:u w:val="single"/>
        </w:rPr>
      </w:pPr>
      <w:r>
        <w:rPr>
          <w:rFonts w:hint="eastAsia" w:ascii="仿宋" w:hAnsi="仿宋" w:eastAsia="仿宋" w:cs="仿宋"/>
          <w:color w:val="auto"/>
        </w:rPr>
        <w:t>选择定价方式的理由：</w:t>
      </w:r>
      <w:r>
        <w:rPr>
          <w:rFonts w:hint="eastAsia" w:ascii="仿宋" w:hAnsi="仿宋" w:eastAsia="仿宋" w:cs="仿宋"/>
          <w:color w:val="auto"/>
          <w:u w:val="single"/>
        </w:rPr>
        <w:t xml:space="preserve">                   </w:t>
      </w:r>
    </w:p>
    <w:p w14:paraId="05E38D7D">
      <w:pPr>
        <w:spacing w:line="560" w:lineRule="exact"/>
        <w:ind w:firstLine="640" w:firstLineChars="200"/>
        <w:jc w:val="left"/>
        <w:outlineLvl w:val="1"/>
        <w:rPr>
          <w:rFonts w:ascii="仿宋" w:hAnsi="仿宋" w:eastAsia="仿宋" w:cs="仿宋"/>
          <w:color w:val="auto"/>
          <w:highlight w:val="none"/>
        </w:rPr>
      </w:pPr>
      <w:r>
        <w:rPr>
          <w:rFonts w:hint="eastAsia" w:ascii="仿宋" w:hAnsi="仿宋" w:eastAsia="仿宋" w:cs="仿宋"/>
          <w:color w:val="auto"/>
          <w:highlight w:val="none"/>
        </w:rPr>
        <w:t>（三）合同文本的主要条款</w:t>
      </w:r>
    </w:p>
    <w:p w14:paraId="3FD2D340">
      <w:pPr>
        <w:pStyle w:val="10"/>
        <w:rPr>
          <w:rFonts w:hint="eastAsia"/>
        </w:rPr>
      </w:pPr>
    </w:p>
    <w:p w14:paraId="66830F50">
      <w:pPr>
        <w:pStyle w:val="10"/>
        <w:rPr>
          <w:rFonts w:hint="eastAsia"/>
        </w:rPr>
      </w:pPr>
    </w:p>
    <w:p w14:paraId="62A9A554">
      <w:pPr>
        <w:pStyle w:val="10"/>
        <w:rPr>
          <w:rFonts w:hint="eastAsia"/>
        </w:rPr>
      </w:pPr>
    </w:p>
    <w:p w14:paraId="3E6E0E20">
      <w:pPr>
        <w:pStyle w:val="10"/>
        <w:rPr>
          <w:rFonts w:hint="eastAsia"/>
        </w:rPr>
      </w:pPr>
    </w:p>
    <w:p w14:paraId="0231CD4D">
      <w:pPr>
        <w:keepNext w:val="0"/>
        <w:keepLines w:val="0"/>
        <w:adjustRightInd/>
        <w:spacing w:line="240" w:lineRule="auto"/>
        <w:jc w:val="left"/>
        <w:textAlignment w:val="auto"/>
        <w:outlineLvl w:val="9"/>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708A968A">
      <w:pPr>
        <w:keepNext w:val="0"/>
        <w:keepLines w:val="0"/>
        <w:adjustRightInd/>
        <w:spacing w:line="240" w:lineRule="auto"/>
        <w:jc w:val="left"/>
        <w:textAlignment w:val="auto"/>
        <w:outlineLvl w:val="9"/>
        <w:rPr>
          <w:rFonts w:hint="eastAsia" w:ascii="宋体" w:hAnsi="宋体"/>
          <w:b/>
          <w:color w:val="auto"/>
          <w:sz w:val="32"/>
          <w:szCs w:val="32"/>
          <w:highlight w:val="none"/>
        </w:rPr>
      </w:pPr>
      <w:r>
        <w:rPr>
          <w:rFonts w:hint="eastAsia" w:ascii="宋体" w:hAnsi="宋体"/>
          <w:b/>
          <w:color w:val="auto"/>
          <w:sz w:val="32"/>
          <w:szCs w:val="32"/>
          <w:highlight w:val="none"/>
        </w:rPr>
        <w:t>合同格式</w:t>
      </w:r>
    </w:p>
    <w:p w14:paraId="6CDA5191">
      <w:pPr>
        <w:tabs>
          <w:tab w:val="left" w:pos="8591"/>
        </w:tabs>
        <w:spacing w:before="50"/>
        <w:ind w:left="4529"/>
        <w:jc w:val="right"/>
        <w:rPr>
          <w:rFonts w:hint="eastAsia" w:ascii="黑体" w:hAnsi="黑体" w:eastAsia="黑体"/>
          <w:b/>
          <w:color w:val="auto"/>
          <w:sz w:val="27"/>
          <w:highlight w:val="none"/>
        </w:rPr>
      </w:pPr>
    </w:p>
    <w:p w14:paraId="43616669">
      <w:pPr>
        <w:tabs>
          <w:tab w:val="left" w:pos="8591"/>
        </w:tabs>
        <w:wordWrap w:val="0"/>
        <w:spacing w:before="50"/>
        <w:ind w:left="4529"/>
        <w:jc w:val="right"/>
        <w:rPr>
          <w:rFonts w:hint="default" w:ascii="黑体" w:hAnsi="黑体" w:eastAsia="黑体" w:cs="黑体"/>
          <w:b/>
          <w:color w:val="auto"/>
          <w:sz w:val="27"/>
          <w:highlight w:val="none"/>
          <w:lang w:val="en-US" w:eastAsia="zh-CN"/>
        </w:rPr>
      </w:pPr>
      <w:r>
        <w:rPr>
          <w:rFonts w:hint="eastAsia" w:ascii="黑体" w:hAnsi="黑体" w:eastAsia="黑体"/>
          <w:b/>
          <w:color w:val="auto"/>
          <w:sz w:val="27"/>
          <w:highlight w:val="none"/>
        </w:rPr>
        <w:t>合同号：</w:t>
      </w:r>
      <w:r>
        <w:rPr>
          <w:rFonts w:hint="eastAsia" w:ascii="黑体" w:hAnsi="黑体" w:eastAsia="黑体"/>
          <w:b/>
          <w:color w:val="auto"/>
          <w:sz w:val="27"/>
          <w:highlight w:val="none"/>
          <w:lang w:val="en-US" w:eastAsia="zh-CN"/>
        </w:rPr>
        <w:t xml:space="preserve">           </w:t>
      </w:r>
    </w:p>
    <w:p w14:paraId="1C19CC17">
      <w:pPr>
        <w:pStyle w:val="2"/>
        <w:rPr>
          <w:rFonts w:ascii="仿宋" w:hAnsi="仿宋" w:eastAsia="仿宋"/>
          <w:b/>
          <w:color w:val="auto"/>
          <w:sz w:val="20"/>
          <w:highlight w:val="none"/>
        </w:rPr>
      </w:pPr>
    </w:p>
    <w:p w14:paraId="25E4086E">
      <w:pPr>
        <w:pStyle w:val="2"/>
        <w:rPr>
          <w:rFonts w:ascii="仿宋" w:hAnsi="仿宋" w:eastAsia="仿宋"/>
          <w:b/>
          <w:color w:val="auto"/>
          <w:sz w:val="20"/>
          <w:highlight w:val="none"/>
        </w:rPr>
      </w:pPr>
    </w:p>
    <w:p w14:paraId="4E7EB6F7">
      <w:pPr>
        <w:pStyle w:val="2"/>
        <w:keepNext w:val="0"/>
        <w:keepLines w:val="0"/>
        <w:pageBreakBefore w:val="0"/>
        <w:widowControl w:val="0"/>
        <w:kinsoku/>
        <w:wordWrap/>
        <w:overflowPunct/>
        <w:topLinePunct w:val="0"/>
        <w:autoSpaceDE/>
        <w:autoSpaceDN/>
        <w:bidi w:val="0"/>
        <w:adjustRightInd/>
        <w:snapToGrid/>
        <w:spacing w:before="3" w:line="900" w:lineRule="exact"/>
        <w:jc w:val="center"/>
        <w:textAlignment w:val="auto"/>
        <w:rPr>
          <w:rFonts w:hint="eastAsia" w:ascii="微软雅黑" w:hAnsi="微软雅黑" w:eastAsia="微软雅黑" w:cs="微软雅黑"/>
          <w:b/>
          <w:bCs/>
          <w:color w:val="auto"/>
          <w:kern w:val="2"/>
          <w:sz w:val="70"/>
          <w:szCs w:val="70"/>
          <w:highlight w:val="none"/>
          <w:lang w:val="en-US" w:eastAsia="zh-CN" w:bidi="ar-SA"/>
        </w:rPr>
      </w:pPr>
      <w:r>
        <w:rPr>
          <w:rFonts w:hint="eastAsia" w:ascii="微软雅黑" w:hAnsi="微软雅黑" w:eastAsia="微软雅黑" w:cs="微软雅黑"/>
          <w:b/>
          <w:bCs/>
          <w:color w:val="auto"/>
          <w:kern w:val="2"/>
          <w:sz w:val="70"/>
          <w:szCs w:val="70"/>
          <w:highlight w:val="none"/>
          <w:lang w:val="en-US" w:eastAsia="zh-CN" w:bidi="ar-SA"/>
        </w:rPr>
        <w:t>广东省深圳市龙岗区消防救援大队龙岗区电动自行车智慧防控系统项目</w:t>
      </w:r>
    </w:p>
    <w:p w14:paraId="15900178">
      <w:pPr>
        <w:pStyle w:val="14"/>
        <w:rPr>
          <w:rFonts w:hint="eastAsia" w:ascii="微软雅黑" w:hAnsi="微软雅黑" w:eastAsia="微软雅黑" w:cs="微软雅黑"/>
          <w:b/>
          <w:bCs/>
          <w:color w:val="auto"/>
          <w:kern w:val="2"/>
          <w:sz w:val="60"/>
          <w:szCs w:val="60"/>
          <w:highlight w:val="none"/>
          <w:lang w:val="en-US" w:eastAsia="zh-CN" w:bidi="ar-SA"/>
        </w:rPr>
      </w:pPr>
    </w:p>
    <w:p w14:paraId="280C1492">
      <w:pPr>
        <w:pStyle w:val="16"/>
        <w:spacing w:line="501" w:lineRule="auto"/>
        <w:ind w:left="3999" w:right="4142"/>
        <w:jc w:val="both"/>
        <w:rPr>
          <w:rFonts w:ascii="仿宋" w:hAnsi="仿宋" w:eastAsia="仿宋"/>
          <w:color w:val="auto"/>
          <w:highlight w:val="none"/>
        </w:rPr>
      </w:pPr>
      <w:r>
        <w:rPr>
          <w:rFonts w:hint="eastAsia" w:ascii="微软雅黑" w:hAnsi="微软雅黑" w:eastAsia="微软雅黑" w:cs="微软雅黑"/>
          <w:color w:val="auto"/>
          <w:highlight w:val="none"/>
        </w:rPr>
        <w:t>合同</w:t>
      </w:r>
    </w:p>
    <w:p w14:paraId="5EC463C4">
      <w:pPr>
        <w:pStyle w:val="2"/>
        <w:spacing w:before="9"/>
        <w:rPr>
          <w:rFonts w:hint="eastAsia" w:ascii="仿宋" w:hAnsi="仿宋" w:eastAsia="仿宋"/>
          <w:b/>
          <w:color w:val="auto"/>
          <w:sz w:val="49"/>
          <w:highlight w:val="none"/>
        </w:rPr>
      </w:pPr>
    </w:p>
    <w:p w14:paraId="0F914DA7">
      <w:pPr>
        <w:spacing w:line="324" w:lineRule="auto"/>
        <w:rPr>
          <w:rFonts w:ascii="仿宋" w:hAnsi="仿宋" w:eastAsia="仿宋"/>
          <w:color w:val="auto"/>
          <w:sz w:val="31"/>
          <w:highlight w:val="none"/>
        </w:rPr>
        <w:sectPr>
          <w:pgSz w:w="11910" w:h="16840"/>
          <w:pgMar w:top="1540" w:right="1360" w:bottom="280" w:left="1680" w:header="720" w:footer="720" w:gutter="0"/>
          <w:pgNumType w:fmt="decimal"/>
          <w:cols w:space="720" w:num="1"/>
        </w:sectPr>
      </w:pPr>
    </w:p>
    <w:p w14:paraId="27248340">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rPr>
        <w:t>甲 方（采购人）：</w:t>
      </w:r>
      <w:r>
        <w:rPr>
          <w:rFonts w:hint="eastAsia" w:ascii="仿宋" w:hAnsi="仿宋" w:eastAsia="仿宋" w:cs="仿宋"/>
          <w:color w:val="auto"/>
          <w:lang w:val="en-US" w:eastAsia="zh-CN"/>
        </w:rPr>
        <w:t xml:space="preserve">深圳市龙岗区消防救援大队 </w:t>
      </w:r>
      <w:r>
        <w:rPr>
          <w:rFonts w:hint="eastAsia" w:ascii="仿宋" w:hAnsi="仿宋" w:eastAsia="仿宋" w:cs="仿宋"/>
          <w:color w:val="auto"/>
        </w:rPr>
        <w:t xml:space="preserve"> </w:t>
      </w:r>
    </w:p>
    <w:p w14:paraId="36D63A89">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rPr>
        <w:t>法定代表人：</w:t>
      </w:r>
      <w:r>
        <w:rPr>
          <w:rFonts w:hint="eastAsia" w:ascii="仿宋" w:hAnsi="仿宋" w:eastAsia="仿宋" w:cs="仿宋"/>
          <w:color w:val="auto"/>
          <w:lang w:val="en-US" w:eastAsia="zh-CN"/>
        </w:rPr>
        <w:t xml:space="preserve">王新辉 </w:t>
      </w:r>
      <w:r>
        <w:rPr>
          <w:rFonts w:hint="eastAsia" w:ascii="仿宋" w:hAnsi="仿宋" w:eastAsia="仿宋" w:cs="仿宋"/>
          <w:color w:val="auto"/>
        </w:rPr>
        <w:t xml:space="preserve"> </w:t>
      </w:r>
    </w:p>
    <w:p w14:paraId="5FD13248">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rPr>
        <w:t>地 址：</w:t>
      </w:r>
      <w:r>
        <w:rPr>
          <w:rFonts w:hint="eastAsia" w:ascii="仿宋" w:hAnsi="仿宋" w:eastAsia="仿宋" w:cs="仿宋"/>
          <w:color w:val="auto"/>
          <w:lang w:val="en-US" w:eastAsia="zh-CN"/>
        </w:rPr>
        <w:t xml:space="preserve">深圳市龙岗区龙城街道白灰围二路 </w:t>
      </w:r>
      <w:r>
        <w:rPr>
          <w:rFonts w:hint="eastAsia" w:ascii="仿宋" w:hAnsi="仿宋" w:eastAsia="仿宋" w:cs="仿宋"/>
          <w:color w:val="auto"/>
        </w:rPr>
        <w:t xml:space="preserve"> </w:t>
      </w:r>
    </w:p>
    <w:p w14:paraId="5C0112BF">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rPr>
        <w:t xml:space="preserve">联系人： </w:t>
      </w:r>
    </w:p>
    <w:p w14:paraId="3CE6EE54">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rPr>
        <w:t xml:space="preserve">电话： </w:t>
      </w:r>
    </w:p>
    <w:p w14:paraId="4908ED76">
      <w:pPr>
        <w:spacing w:line="560" w:lineRule="exact"/>
        <w:ind w:firstLine="640" w:firstLineChars="200"/>
        <w:jc w:val="left"/>
        <w:rPr>
          <w:rFonts w:hint="eastAsia" w:ascii="仿宋" w:hAnsi="仿宋" w:eastAsia="仿宋" w:cs="仿宋"/>
          <w:color w:val="auto"/>
        </w:rPr>
      </w:pPr>
    </w:p>
    <w:p w14:paraId="1EF33E13">
      <w:pPr>
        <w:spacing w:line="560" w:lineRule="exact"/>
        <w:ind w:firstLine="640" w:firstLineChars="200"/>
        <w:jc w:val="left"/>
        <w:rPr>
          <w:rFonts w:hint="default" w:ascii="仿宋" w:hAnsi="仿宋" w:eastAsia="仿宋" w:cs="仿宋"/>
          <w:color w:val="auto"/>
          <w:lang w:val="en-US" w:eastAsia="zh-CN"/>
        </w:rPr>
      </w:pPr>
      <w:r>
        <w:rPr>
          <w:rFonts w:hint="eastAsia" w:ascii="仿宋" w:hAnsi="仿宋" w:eastAsia="仿宋" w:cs="仿宋"/>
          <w:color w:val="auto"/>
        </w:rPr>
        <w:t xml:space="preserve">乙 方（成交人）： </w:t>
      </w:r>
      <w:r>
        <w:rPr>
          <w:rFonts w:hint="eastAsia" w:ascii="仿宋" w:hAnsi="仿宋" w:eastAsia="仿宋" w:cs="仿宋"/>
          <w:color w:val="auto"/>
          <w:lang w:val="en-US" w:eastAsia="zh-CN"/>
        </w:rPr>
        <w:t>中标单位</w:t>
      </w:r>
    </w:p>
    <w:p w14:paraId="6231C4DD">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rPr>
        <w:t xml:space="preserve">法定代表人： </w:t>
      </w:r>
    </w:p>
    <w:p w14:paraId="71F5BF0E">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rPr>
        <w:t xml:space="preserve">地 址： </w:t>
      </w:r>
    </w:p>
    <w:p w14:paraId="322A0FCB">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rPr>
        <w:t xml:space="preserve">联系人： </w:t>
      </w:r>
    </w:p>
    <w:p w14:paraId="4790321E">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rPr>
        <w:t xml:space="preserve">电话： </w:t>
      </w:r>
    </w:p>
    <w:p w14:paraId="55746517">
      <w:pPr>
        <w:spacing w:line="560" w:lineRule="exact"/>
        <w:ind w:firstLine="640" w:firstLineChars="200"/>
        <w:jc w:val="left"/>
        <w:rPr>
          <w:rFonts w:hint="eastAsia" w:ascii="仿宋" w:hAnsi="仿宋" w:eastAsia="仿宋" w:cs="仿宋"/>
          <w:color w:val="auto"/>
        </w:rPr>
      </w:pPr>
      <w:r>
        <w:rPr>
          <w:rFonts w:hint="eastAsia" w:ascii="仿宋" w:hAnsi="仿宋" w:eastAsia="仿宋" w:cs="仿宋"/>
          <w:color w:val="auto"/>
        </w:rPr>
        <w:br w:type="textWrapping"/>
      </w:r>
    </w:p>
    <w:p w14:paraId="7B2CEBC8">
      <w:pPr>
        <w:spacing w:line="560" w:lineRule="exact"/>
        <w:ind w:firstLine="640" w:firstLineChars="200"/>
        <w:jc w:val="left"/>
        <w:rPr>
          <w:rFonts w:hint="eastAsia" w:ascii="仿宋" w:hAnsi="仿宋" w:eastAsia="仿宋" w:cs="仿宋"/>
          <w:color w:val="auto"/>
        </w:rPr>
      </w:pPr>
      <w:r>
        <w:rPr>
          <w:rFonts w:hint="eastAsia" w:ascii="仿宋" w:hAnsi="仿宋" w:eastAsia="仿宋" w:cs="仿宋"/>
          <w:color w:val="auto"/>
        </w:rPr>
        <w:t>根据广东省深圳市龙岗区消防救援大队龙岗区电动自行车智慧防控系统项目（项目</w:t>
      </w:r>
      <w:r>
        <w:rPr>
          <w:rFonts w:hint="eastAsia" w:ascii="仿宋" w:hAnsi="仿宋" w:eastAsia="仿宋" w:cs="仿宋"/>
          <w:color w:val="auto"/>
          <w:lang w:val="en-US" w:eastAsia="zh-CN"/>
        </w:rPr>
        <w:t>编</w:t>
      </w:r>
      <w:r>
        <w:rPr>
          <w:rFonts w:hint="eastAsia" w:ascii="仿宋" w:hAnsi="仿宋" w:eastAsia="仿宋" w:cs="仿宋"/>
          <w:color w:val="auto"/>
        </w:rPr>
        <w:t>号：</w:t>
      </w:r>
      <w:r>
        <w:rPr>
          <w:rFonts w:hint="eastAsia" w:ascii="仿宋" w:hAnsi="仿宋" w:eastAsia="仿宋" w:cs="仿宋"/>
          <w:color w:val="auto"/>
          <w:lang w:val="en-US" w:eastAsia="zh-CN"/>
        </w:rPr>
        <w:t xml:space="preserve">    </w:t>
      </w:r>
      <w:r>
        <w:rPr>
          <w:rFonts w:hint="eastAsia" w:ascii="仿宋" w:hAnsi="仿宋" w:eastAsia="仿宋" w:cs="仿宋"/>
          <w:color w:val="auto"/>
        </w:rPr>
        <w:t xml:space="preserve"> ）的采购结果，</w:t>
      </w:r>
      <w:r>
        <w:rPr>
          <w:rFonts w:hint="eastAsia" w:ascii="仿宋" w:hAnsi="仿宋" w:eastAsia="仿宋" w:cs="仿宋"/>
          <w:color w:val="auto"/>
          <w:lang w:eastAsia="zh-CN"/>
        </w:rPr>
        <w:t>由乙方中标该项目供应商资格，根据《中华人民共和国民法典》、</w:t>
      </w:r>
      <w:r>
        <w:rPr>
          <w:rFonts w:hint="eastAsia" w:ascii="仿宋" w:hAnsi="仿宋" w:eastAsia="仿宋" w:cs="仿宋"/>
          <w:color w:val="auto"/>
        </w:rPr>
        <w:t>《中华人民共和国政府采购法》及其实施条例</w:t>
      </w:r>
      <w:r>
        <w:rPr>
          <w:rFonts w:hint="eastAsia" w:ascii="仿宋" w:hAnsi="仿宋" w:eastAsia="仿宋" w:cs="仿宋"/>
          <w:color w:val="auto"/>
          <w:lang w:eastAsia="zh-CN"/>
        </w:rPr>
        <w:t>等法律法规的规定</w:t>
      </w:r>
      <w:r>
        <w:rPr>
          <w:rFonts w:hint="eastAsia" w:ascii="仿宋" w:hAnsi="仿宋" w:eastAsia="仿宋" w:cs="仿宋"/>
          <w:color w:val="auto"/>
        </w:rPr>
        <w:t>，</w:t>
      </w:r>
      <w:r>
        <w:rPr>
          <w:rFonts w:hint="eastAsia" w:ascii="仿宋" w:hAnsi="仿宋" w:eastAsia="仿宋" w:cs="仿宋"/>
          <w:color w:val="auto"/>
          <w:lang w:eastAsia="zh-CN"/>
        </w:rPr>
        <w:t>双方本着平等、自愿、公平的原则，</w:t>
      </w:r>
      <w:r>
        <w:rPr>
          <w:rFonts w:hint="eastAsia" w:ascii="仿宋" w:hAnsi="仿宋" w:eastAsia="仿宋" w:cs="仿宋"/>
          <w:color w:val="auto"/>
        </w:rPr>
        <w:t>经双方协商</w:t>
      </w:r>
      <w:r>
        <w:rPr>
          <w:rFonts w:hint="eastAsia" w:ascii="仿宋" w:hAnsi="仿宋" w:eastAsia="仿宋" w:cs="仿宋"/>
          <w:color w:val="auto"/>
          <w:lang w:eastAsia="zh-CN"/>
        </w:rPr>
        <w:t>一致</w:t>
      </w:r>
      <w:r>
        <w:rPr>
          <w:rFonts w:hint="eastAsia" w:ascii="仿宋" w:hAnsi="仿宋" w:eastAsia="仿宋" w:cs="仿宋"/>
          <w:color w:val="auto"/>
        </w:rPr>
        <w:t>，签订本合同如下。</w:t>
      </w:r>
    </w:p>
    <w:p w14:paraId="3593A1D1">
      <w:pPr>
        <w:spacing w:line="560" w:lineRule="exact"/>
        <w:ind w:firstLine="640" w:firstLineChars="200"/>
        <w:jc w:val="left"/>
        <w:rPr>
          <w:rFonts w:hint="eastAsia" w:ascii="仿宋" w:hAnsi="仿宋" w:eastAsia="仿宋" w:cs="仿宋"/>
          <w:color w:val="auto"/>
        </w:rPr>
      </w:pPr>
    </w:p>
    <w:p w14:paraId="7B032474">
      <w:pPr>
        <w:spacing w:line="560" w:lineRule="exact"/>
        <w:ind w:firstLine="640" w:firstLineChars="200"/>
        <w:jc w:val="left"/>
        <w:outlineLvl w:val="0"/>
        <w:rPr>
          <w:rFonts w:ascii="仿宋" w:hAnsi="仿宋" w:eastAsia="仿宋" w:cs="仿宋"/>
          <w:color w:val="auto"/>
        </w:rPr>
      </w:pPr>
      <w:r>
        <w:rPr>
          <w:rFonts w:hint="eastAsia" w:ascii="仿宋" w:hAnsi="仿宋" w:eastAsia="仿宋" w:cs="仿宋"/>
          <w:color w:val="auto"/>
        </w:rPr>
        <w:t xml:space="preserve">一、项目基本情况 </w:t>
      </w:r>
    </w:p>
    <w:p w14:paraId="46F5314C">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rPr>
        <w:t>1. 项目名称：龙岗区电动自行车智慧防控系统项目</w:t>
      </w:r>
    </w:p>
    <w:p w14:paraId="64E6CD7A">
      <w:pPr>
        <w:spacing w:line="560" w:lineRule="exact"/>
        <w:ind w:firstLine="640" w:firstLineChars="200"/>
        <w:jc w:val="left"/>
        <w:rPr>
          <w:rFonts w:hint="eastAsia" w:ascii="仿宋" w:hAnsi="仿宋" w:eastAsia="仿宋" w:cs="仿宋"/>
          <w:color w:val="auto"/>
          <w:lang w:eastAsia="zh-CN"/>
        </w:rPr>
      </w:pPr>
      <w:r>
        <w:rPr>
          <w:rFonts w:hint="eastAsia" w:ascii="仿宋" w:hAnsi="仿宋" w:eastAsia="仿宋" w:cs="仿宋"/>
          <w:color w:val="auto"/>
        </w:rPr>
        <w:t xml:space="preserve">2. 项目类型： </w:t>
      </w:r>
      <w:r>
        <w:rPr>
          <w:rFonts w:hint="eastAsia" w:ascii="仿宋" w:hAnsi="仿宋" w:eastAsia="仿宋" w:cs="仿宋"/>
          <w:color w:val="auto"/>
          <w:lang w:eastAsia="zh-CN"/>
        </w:rPr>
        <w:t>服务类</w:t>
      </w:r>
    </w:p>
    <w:p w14:paraId="652DCA91">
      <w:pPr>
        <w:spacing w:line="560" w:lineRule="exact"/>
        <w:ind w:firstLine="640" w:firstLineChars="200"/>
        <w:jc w:val="left"/>
        <w:rPr>
          <w:rFonts w:hint="eastAsia" w:ascii="仿宋" w:hAnsi="仿宋" w:eastAsia="仿宋" w:cs="仿宋"/>
          <w:color w:val="auto"/>
          <w:lang w:eastAsia="zh-CN"/>
        </w:rPr>
      </w:pPr>
      <w:r>
        <w:rPr>
          <w:rFonts w:hint="eastAsia" w:ascii="仿宋" w:hAnsi="仿宋" w:eastAsia="仿宋" w:cs="仿宋"/>
          <w:color w:val="auto"/>
        </w:rPr>
        <w:t>3. 项目服务地点：广东省</w:t>
      </w:r>
      <w:r>
        <w:rPr>
          <w:rFonts w:hint="eastAsia" w:ascii="仿宋" w:hAnsi="仿宋" w:eastAsia="仿宋" w:cs="仿宋"/>
          <w:color w:val="auto"/>
          <w:lang w:eastAsia="zh-CN"/>
        </w:rPr>
        <w:t>深圳市</w:t>
      </w:r>
    </w:p>
    <w:p w14:paraId="64243990">
      <w:pPr>
        <w:spacing w:line="560" w:lineRule="exact"/>
        <w:ind w:firstLine="640" w:firstLineChars="200"/>
        <w:jc w:val="left"/>
        <w:outlineLvl w:val="0"/>
        <w:rPr>
          <w:rFonts w:ascii="仿宋" w:hAnsi="仿宋" w:eastAsia="仿宋" w:cs="仿宋"/>
          <w:color w:val="auto"/>
        </w:rPr>
      </w:pPr>
      <w:r>
        <w:rPr>
          <w:rFonts w:hint="eastAsia" w:ascii="仿宋" w:hAnsi="仿宋" w:eastAsia="仿宋" w:cs="仿宋"/>
          <w:color w:val="auto"/>
        </w:rPr>
        <w:t xml:space="preserve">二、项目服务期 </w:t>
      </w:r>
    </w:p>
    <w:p w14:paraId="6A525A7D">
      <w:pPr>
        <w:adjustRightInd w:val="0"/>
        <w:snapToGrid w:val="0"/>
        <w:spacing w:line="360" w:lineRule="auto"/>
        <w:ind w:firstLine="640" w:firstLineChars="200"/>
        <w:jc w:val="both"/>
        <w:outlineLvl w:val="9"/>
        <w:rPr>
          <w:rFonts w:hint="eastAsia" w:ascii="仿宋" w:hAnsi="仿宋" w:eastAsia="仿宋" w:cs="仿宋"/>
          <w:color w:val="auto"/>
        </w:rPr>
      </w:pPr>
      <w:r>
        <w:rPr>
          <w:rFonts w:hint="eastAsia" w:ascii="仿宋" w:hAnsi="仿宋" w:eastAsia="仿宋" w:cs="仿宋"/>
          <w:color w:val="auto"/>
          <w:lang w:val="en-US" w:eastAsia="zh-CN"/>
        </w:rPr>
        <w:t>自</w:t>
      </w:r>
      <w:r>
        <w:rPr>
          <w:rFonts w:hint="eastAsia" w:ascii="仿宋" w:hAnsi="仿宋" w:eastAsia="仿宋" w:cs="仿宋"/>
          <w:color w:val="auto"/>
        </w:rPr>
        <w:t>签订合同之日起一年</w:t>
      </w:r>
      <w:r>
        <w:rPr>
          <w:rFonts w:hint="eastAsia" w:ascii="仿宋" w:hAnsi="仿宋" w:eastAsia="仿宋" w:cs="仿宋"/>
          <w:color w:val="auto"/>
          <w:lang w:eastAsia="zh-CN"/>
        </w:rPr>
        <w:t>。</w:t>
      </w:r>
    </w:p>
    <w:p w14:paraId="0DFBC364">
      <w:pPr>
        <w:adjustRightInd w:val="0"/>
        <w:snapToGrid w:val="0"/>
        <w:spacing w:line="360" w:lineRule="auto"/>
        <w:ind w:firstLine="640" w:firstLineChars="200"/>
        <w:jc w:val="both"/>
        <w:outlineLvl w:val="9"/>
        <w:rPr>
          <w:rFonts w:ascii="仿宋" w:hAnsi="仿宋" w:eastAsia="仿宋" w:cs="仿宋"/>
          <w:color w:val="auto"/>
        </w:rPr>
      </w:pPr>
      <w:r>
        <w:rPr>
          <w:rFonts w:hint="eastAsia" w:ascii="仿宋" w:hAnsi="仿宋" w:eastAsia="仿宋" w:cs="仿宋"/>
          <w:color w:val="auto"/>
        </w:rPr>
        <w:t xml:space="preserve">三、合同价格 </w:t>
      </w:r>
    </w:p>
    <w:p w14:paraId="5016095F">
      <w:pPr>
        <w:ind w:firstLine="640" w:firstLineChars="20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lang w:val="en-US" w:eastAsia="zh-CN"/>
        </w:rPr>
        <w:t>3.1本合同费用总额：合同总价为    元（大写：     元整），含一切税、费。本合同费用总额包括中标人为实施本项目所需的全部服务和技术费用等，为固定不变价格，且不随通货膨胀的影响而波动。</w:t>
      </w:r>
    </w:p>
    <w:p w14:paraId="69C9A1F5">
      <w:pPr>
        <w:pStyle w:val="14"/>
        <w:spacing w:line="540" w:lineRule="exact"/>
        <w:ind w:firstLine="640" w:firstLineChars="20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lang w:val="en-US" w:eastAsia="zh-CN"/>
        </w:rPr>
        <w:t>3.2</w:t>
      </w:r>
      <w:r>
        <w:rPr>
          <w:rFonts w:hint="eastAsia" w:ascii="方正仿宋_GB2312" w:hAnsi="方正仿宋_GB2312" w:eastAsia="方正仿宋_GB2312" w:cs="方正仿宋_GB2312"/>
          <w:szCs w:val="21"/>
        </w:rPr>
        <w:t>支付方式：</w:t>
      </w:r>
    </w:p>
    <w:p w14:paraId="7D1F224B">
      <w:pPr>
        <w:pStyle w:val="14"/>
        <w:spacing w:line="540" w:lineRule="exact"/>
        <w:ind w:firstLine="640" w:firstLineChars="200"/>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预付款</w:t>
      </w:r>
      <w:r>
        <w:rPr>
          <w:rFonts w:hint="eastAsia" w:ascii="方正仿宋_GB2312" w:hAnsi="方正仿宋_GB2312" w:eastAsia="方正仿宋_GB2312" w:cs="方正仿宋_GB2312"/>
          <w:color w:val="000000" w:themeColor="text1"/>
          <w:lang w:eastAsia="zh-CN"/>
          <w14:textFill>
            <w14:solidFill>
              <w14:schemeClr w14:val="tx1"/>
            </w14:solidFill>
          </w14:textFill>
        </w:rPr>
        <w:t>：</w:t>
      </w:r>
      <w:r>
        <w:rPr>
          <w:rFonts w:hint="eastAsia" w:ascii="方正仿宋_GB2312" w:hAnsi="方正仿宋_GB2312" w:eastAsia="方正仿宋_GB2312" w:cs="方正仿宋_GB2312"/>
          <w:color w:val="000000" w:themeColor="text1"/>
          <w14:textFill>
            <w14:solidFill>
              <w14:schemeClr w14:val="tx1"/>
            </w14:solidFill>
          </w14:textFill>
        </w:rPr>
        <w:t>在本合同签订并生效且收到</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乙方</w:t>
      </w:r>
      <w:r>
        <w:rPr>
          <w:rFonts w:hint="eastAsia" w:ascii="方正仿宋_GB2312" w:hAnsi="方正仿宋_GB2312" w:eastAsia="方正仿宋_GB2312" w:cs="方正仿宋_GB2312"/>
          <w:color w:val="000000" w:themeColor="text1"/>
          <w14:textFill>
            <w14:solidFill>
              <w14:schemeClr w14:val="tx1"/>
            </w14:solidFill>
          </w14:textFill>
        </w:rPr>
        <w:t>开具的相应金额的、符合国家规定的发票后</w:t>
      </w:r>
      <w:r>
        <w:rPr>
          <w:rFonts w:hint="eastAsia" w:ascii="方正仿宋_GB2312" w:hAnsi="方正仿宋_GB2312" w:eastAsia="方正仿宋_GB2312" w:cs="方正仿宋_GB2312"/>
          <w:color w:val="000000" w:themeColor="text1"/>
          <w:lang w:eastAsia="zh-CN"/>
          <w14:textFill>
            <w14:solidFill>
              <w14:schemeClr w14:val="tx1"/>
            </w14:solidFill>
          </w14:textFill>
        </w:rPr>
        <w:t>1</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0</w:t>
      </w:r>
      <w:r>
        <w:rPr>
          <w:rFonts w:hint="eastAsia" w:ascii="方正仿宋_GB2312" w:hAnsi="方正仿宋_GB2312" w:eastAsia="方正仿宋_GB2312" w:cs="方正仿宋_GB2312"/>
          <w:color w:val="000000" w:themeColor="text1"/>
          <w14:textFill>
            <w14:solidFill>
              <w14:schemeClr w14:val="tx1"/>
            </w14:solidFill>
          </w14:textFill>
        </w:rPr>
        <w:t>个工作日内，</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甲方</w:t>
      </w:r>
      <w:r>
        <w:rPr>
          <w:rFonts w:hint="eastAsia" w:ascii="方正仿宋_GB2312" w:hAnsi="方正仿宋_GB2312" w:eastAsia="方正仿宋_GB2312" w:cs="方正仿宋_GB2312"/>
          <w:color w:val="000000" w:themeColor="text1"/>
          <w14:textFill>
            <w14:solidFill>
              <w14:schemeClr w14:val="tx1"/>
            </w14:solidFill>
          </w14:textFill>
        </w:rPr>
        <w:t>将本合同费用总额的</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50</w:t>
      </w:r>
      <w:r>
        <w:rPr>
          <w:rFonts w:hint="eastAsia" w:ascii="方正仿宋_GB2312" w:hAnsi="方正仿宋_GB2312" w:eastAsia="方正仿宋_GB2312" w:cs="方正仿宋_GB2312"/>
          <w:color w:val="000000" w:themeColor="text1"/>
          <w14:textFill>
            <w14:solidFill>
              <w14:schemeClr w14:val="tx1"/>
            </w14:solidFill>
          </w14:textFill>
        </w:rPr>
        <w:t>％，即人民币</w:t>
      </w:r>
      <w:r>
        <w:rPr>
          <w:rFonts w:hint="eastAsia" w:ascii="方正仿宋_GB2312" w:hAnsi="方正仿宋_GB2312" w:eastAsia="方正仿宋_GB2312" w:cs="方正仿宋_GB2312"/>
          <w:color w:val="000000" w:themeColor="text1"/>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14:textFill>
            <w14:solidFill>
              <w14:schemeClr w14:val="tx1"/>
            </w14:solidFill>
          </w14:textFill>
        </w:rPr>
        <w:t>元（大写：</w:t>
      </w:r>
      <w:r>
        <w:rPr>
          <w:rFonts w:hint="eastAsia" w:ascii="方正仿宋_GB2312" w:hAnsi="方正仿宋_GB2312" w:eastAsia="方正仿宋_GB2312" w:cs="方正仿宋_GB2312"/>
          <w:color w:val="000000" w:themeColor="text1"/>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14:textFill>
            <w14:solidFill>
              <w14:schemeClr w14:val="tx1"/>
            </w14:solidFill>
          </w14:textFill>
        </w:rPr>
        <w:t>元整），支付给中标人；</w:t>
      </w:r>
    </w:p>
    <w:p w14:paraId="3F5EE75F">
      <w:pPr>
        <w:spacing w:line="560" w:lineRule="exact"/>
        <w:ind w:firstLine="640" w:firstLineChars="200"/>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color w:val="000000" w:themeColor="text1"/>
          <w14:textFill>
            <w14:solidFill>
              <w14:schemeClr w14:val="tx1"/>
            </w14:solidFill>
          </w14:textFill>
        </w:rPr>
        <w:t>进度付款：</w:t>
      </w:r>
      <w:r>
        <w:rPr>
          <w:rFonts w:hint="eastAsia" w:ascii="仿宋_GB2312" w:hAnsi="仿宋_GB2312" w:eastAsia="仿宋_GB2312" w:cs="仿宋_GB2312"/>
          <w:color w:val="000000" w:themeColor="text1"/>
          <w:lang w:val="en-US" w:eastAsia="zh-CN"/>
          <w14:textFill>
            <w14:solidFill>
              <w14:schemeClr w14:val="tx1"/>
            </w14:solidFill>
          </w14:textFill>
        </w:rPr>
        <w:t>完成相关业务系统部署工作</w:t>
      </w:r>
      <w:r>
        <w:rPr>
          <w:rFonts w:hint="eastAsia" w:ascii="方正仿宋_GB2312" w:hAnsi="方正仿宋_GB2312" w:eastAsia="方正仿宋_GB2312" w:cs="方正仿宋_GB2312"/>
          <w:color w:val="000000" w:themeColor="text1"/>
          <w14:textFill>
            <w14:solidFill>
              <w14:schemeClr w14:val="tx1"/>
            </w14:solidFill>
          </w14:textFill>
        </w:rPr>
        <w:t>且收到</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乙方</w:t>
      </w:r>
      <w:r>
        <w:rPr>
          <w:rFonts w:hint="eastAsia" w:ascii="方正仿宋_GB2312" w:hAnsi="方正仿宋_GB2312" w:eastAsia="方正仿宋_GB2312" w:cs="方正仿宋_GB2312"/>
          <w:color w:val="000000" w:themeColor="text1"/>
          <w14:textFill>
            <w14:solidFill>
              <w14:schemeClr w14:val="tx1"/>
            </w14:solidFill>
          </w14:textFill>
        </w:rPr>
        <w:t>开具的相应金额的、符合国家规定的发票后</w:t>
      </w:r>
      <w:r>
        <w:rPr>
          <w:rFonts w:hint="eastAsia" w:ascii="方正仿宋_GB2312" w:hAnsi="方正仿宋_GB2312" w:eastAsia="方正仿宋_GB2312" w:cs="方正仿宋_GB2312"/>
          <w:color w:val="000000" w:themeColor="text1"/>
          <w:lang w:eastAsia="zh-CN"/>
          <w14:textFill>
            <w14:solidFill>
              <w14:schemeClr w14:val="tx1"/>
            </w14:solidFill>
          </w14:textFill>
        </w:rPr>
        <w:t>1</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0</w:t>
      </w:r>
      <w:r>
        <w:rPr>
          <w:rFonts w:hint="eastAsia" w:ascii="方正仿宋_GB2312" w:hAnsi="方正仿宋_GB2312" w:eastAsia="方正仿宋_GB2312" w:cs="方正仿宋_GB2312"/>
          <w:color w:val="000000" w:themeColor="text1"/>
          <w14:textFill>
            <w14:solidFill>
              <w14:schemeClr w14:val="tx1"/>
            </w14:solidFill>
          </w14:textFill>
        </w:rPr>
        <w:t>个工作日内，</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甲方</w:t>
      </w:r>
      <w:r>
        <w:rPr>
          <w:rFonts w:hint="eastAsia" w:ascii="方正仿宋_GB2312" w:hAnsi="方正仿宋_GB2312" w:eastAsia="方正仿宋_GB2312" w:cs="方正仿宋_GB2312"/>
          <w:color w:val="000000" w:themeColor="text1"/>
          <w14:textFill>
            <w14:solidFill>
              <w14:schemeClr w14:val="tx1"/>
            </w14:solidFill>
          </w14:textFill>
        </w:rPr>
        <w:t>将本合同费用总额的</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30</w:t>
      </w:r>
      <w:r>
        <w:rPr>
          <w:rFonts w:hint="eastAsia" w:ascii="方正仿宋_GB2312" w:hAnsi="方正仿宋_GB2312" w:eastAsia="方正仿宋_GB2312" w:cs="方正仿宋_GB2312"/>
          <w:color w:val="000000" w:themeColor="text1"/>
          <w14:textFill>
            <w14:solidFill>
              <w14:schemeClr w14:val="tx1"/>
            </w14:solidFill>
          </w14:textFill>
        </w:rPr>
        <w:t>％，即人民币</w:t>
      </w:r>
      <w:r>
        <w:rPr>
          <w:rFonts w:hint="eastAsia" w:ascii="方正仿宋_GB2312" w:hAnsi="方正仿宋_GB2312" w:eastAsia="方正仿宋_GB2312" w:cs="方正仿宋_GB2312"/>
          <w:color w:val="000000" w:themeColor="text1"/>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14:textFill>
            <w14:solidFill>
              <w14:schemeClr w14:val="tx1"/>
            </w14:solidFill>
          </w14:textFill>
        </w:rPr>
        <w:t>元（大写：</w:t>
      </w:r>
      <w:r>
        <w:rPr>
          <w:rFonts w:hint="eastAsia" w:ascii="方正仿宋_GB2312" w:hAnsi="方正仿宋_GB2312" w:eastAsia="方正仿宋_GB2312" w:cs="方正仿宋_GB2312"/>
          <w:color w:val="000000" w:themeColor="text1"/>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14:textFill>
            <w14:solidFill>
              <w14:schemeClr w14:val="tx1"/>
            </w14:solidFill>
          </w14:textFill>
        </w:rPr>
        <w:t>元整），支付给</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乙方</w:t>
      </w:r>
      <w:r>
        <w:rPr>
          <w:rFonts w:hint="eastAsia" w:ascii="方正仿宋_GB2312" w:hAnsi="方正仿宋_GB2312" w:eastAsia="方正仿宋_GB2312" w:cs="方正仿宋_GB2312"/>
          <w:color w:val="000000" w:themeColor="text1"/>
          <w14:textFill>
            <w14:solidFill>
              <w14:schemeClr w14:val="tx1"/>
            </w14:solidFill>
          </w14:textFill>
        </w:rPr>
        <w:t>；</w:t>
      </w:r>
    </w:p>
    <w:p w14:paraId="64C8AC23">
      <w:pPr>
        <w:pStyle w:val="14"/>
        <w:spacing w:after="0" w:line="540" w:lineRule="exact"/>
        <w:ind w:firstLine="64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themeColor="text1"/>
          <w14:textFill>
            <w14:solidFill>
              <w14:schemeClr w14:val="tx1"/>
            </w14:solidFill>
          </w14:textFill>
        </w:rPr>
        <w:t>验收付款：软件平台上线试运行满三个月，试运行期间运行正常稳定、满足招标和合同要求，且乙方提供服务承诺函</w:t>
      </w:r>
      <w:r>
        <w:rPr>
          <w:rFonts w:hint="eastAsia" w:ascii="方正仿宋_GB2312" w:hAnsi="方正仿宋_GB2312" w:eastAsia="方正仿宋_GB2312" w:cs="方正仿宋_GB2312"/>
          <w:color w:val="000000" w:themeColor="text1"/>
          <w:lang w:eastAsia="zh-CN"/>
          <w14:textFill>
            <w14:solidFill>
              <w14:schemeClr w14:val="tx1"/>
            </w14:solidFill>
          </w14:textFill>
        </w:rPr>
        <w:t>，</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甲方</w:t>
      </w:r>
      <w:r>
        <w:rPr>
          <w:rFonts w:hint="eastAsia" w:ascii="方正仿宋_GB2312" w:hAnsi="方正仿宋_GB2312" w:eastAsia="方正仿宋_GB2312" w:cs="方正仿宋_GB2312"/>
          <w:color w:val="000000" w:themeColor="text1"/>
          <w14:textFill>
            <w14:solidFill>
              <w14:schemeClr w14:val="tx1"/>
            </w14:solidFill>
          </w14:textFill>
        </w:rPr>
        <w:t>收到</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乙方</w:t>
      </w:r>
      <w:r>
        <w:rPr>
          <w:rFonts w:hint="eastAsia" w:ascii="方正仿宋_GB2312" w:hAnsi="方正仿宋_GB2312" w:eastAsia="方正仿宋_GB2312" w:cs="方正仿宋_GB2312"/>
          <w:color w:val="000000" w:themeColor="text1"/>
          <w14:textFill>
            <w14:solidFill>
              <w14:schemeClr w14:val="tx1"/>
            </w14:solidFill>
          </w14:textFill>
        </w:rPr>
        <w:t>开具的相应金额的、符合国家规定的发票后</w:t>
      </w:r>
      <w:r>
        <w:rPr>
          <w:rFonts w:hint="eastAsia" w:ascii="方正仿宋_GB2312" w:hAnsi="方正仿宋_GB2312" w:eastAsia="方正仿宋_GB2312" w:cs="方正仿宋_GB2312"/>
          <w:color w:val="000000" w:themeColor="text1"/>
          <w:lang w:eastAsia="zh-CN"/>
          <w14:textFill>
            <w14:solidFill>
              <w14:schemeClr w14:val="tx1"/>
            </w14:solidFill>
          </w14:textFill>
        </w:rPr>
        <w:t>1</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0</w:t>
      </w:r>
      <w:r>
        <w:rPr>
          <w:rFonts w:hint="eastAsia" w:ascii="方正仿宋_GB2312" w:hAnsi="方正仿宋_GB2312" w:eastAsia="方正仿宋_GB2312" w:cs="方正仿宋_GB2312"/>
          <w:color w:val="000000" w:themeColor="text1"/>
          <w14:textFill>
            <w14:solidFill>
              <w14:schemeClr w14:val="tx1"/>
            </w14:solidFill>
          </w14:textFill>
        </w:rPr>
        <w:t>个工作日内，</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甲方</w:t>
      </w:r>
      <w:r>
        <w:rPr>
          <w:rFonts w:hint="eastAsia" w:ascii="方正仿宋_GB2312" w:hAnsi="方正仿宋_GB2312" w:eastAsia="方正仿宋_GB2312" w:cs="方正仿宋_GB2312"/>
          <w:color w:val="000000" w:themeColor="text1"/>
          <w14:textFill>
            <w14:solidFill>
              <w14:schemeClr w14:val="tx1"/>
            </w14:solidFill>
          </w14:textFill>
        </w:rPr>
        <w:t>将本合同费用总额的</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20</w:t>
      </w:r>
      <w:r>
        <w:rPr>
          <w:rFonts w:hint="eastAsia" w:ascii="方正仿宋_GB2312" w:hAnsi="方正仿宋_GB2312" w:eastAsia="方正仿宋_GB2312" w:cs="方正仿宋_GB2312"/>
          <w:color w:val="000000" w:themeColor="text1"/>
          <w14:textFill>
            <w14:solidFill>
              <w14:schemeClr w14:val="tx1"/>
            </w14:solidFill>
          </w14:textFill>
        </w:rPr>
        <w:t>％，即人民币</w:t>
      </w:r>
      <w:r>
        <w:rPr>
          <w:rFonts w:hint="eastAsia" w:ascii="方正仿宋_GB2312" w:hAnsi="方正仿宋_GB2312" w:eastAsia="方正仿宋_GB2312" w:cs="方正仿宋_GB2312"/>
          <w:color w:val="000000" w:themeColor="text1"/>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14:textFill>
            <w14:solidFill>
              <w14:schemeClr w14:val="tx1"/>
            </w14:solidFill>
          </w14:textFill>
        </w:rPr>
        <w:t>元（大写：</w:t>
      </w:r>
      <w:r>
        <w:rPr>
          <w:rFonts w:hint="eastAsia" w:ascii="方正仿宋_GB2312" w:hAnsi="方正仿宋_GB2312" w:eastAsia="方正仿宋_GB2312" w:cs="方正仿宋_GB2312"/>
          <w:color w:val="000000" w:themeColor="text1"/>
          <w:u w:val="single"/>
          <w14:textFill>
            <w14:solidFill>
              <w14:schemeClr w14:val="tx1"/>
            </w14:solidFill>
          </w14:textFill>
        </w:rPr>
        <w:t xml:space="preserve">    </w:t>
      </w:r>
      <w:r>
        <w:rPr>
          <w:rFonts w:hint="eastAsia" w:ascii="方正仿宋_GB2312" w:hAnsi="方正仿宋_GB2312" w:eastAsia="方正仿宋_GB2312" w:cs="方正仿宋_GB2312"/>
          <w:color w:val="000000" w:themeColor="text1"/>
          <w14:textFill>
            <w14:solidFill>
              <w14:schemeClr w14:val="tx1"/>
            </w14:solidFill>
          </w14:textFill>
        </w:rPr>
        <w:t>元整），支付给</w:t>
      </w:r>
      <w:r>
        <w:rPr>
          <w:rFonts w:hint="eastAsia" w:ascii="方正仿宋_GB2312" w:hAnsi="方正仿宋_GB2312" w:eastAsia="方正仿宋_GB2312" w:cs="方正仿宋_GB2312"/>
          <w:color w:val="000000" w:themeColor="text1"/>
          <w:lang w:val="en-US" w:eastAsia="zh-CN"/>
          <w14:textFill>
            <w14:solidFill>
              <w14:schemeClr w14:val="tx1"/>
            </w14:solidFill>
          </w14:textFill>
        </w:rPr>
        <w:t>乙方</w:t>
      </w:r>
      <w:r>
        <w:rPr>
          <w:rFonts w:hint="eastAsia" w:ascii="方正仿宋_GB2312" w:hAnsi="方正仿宋_GB2312" w:eastAsia="方正仿宋_GB2312" w:cs="方正仿宋_GB2312"/>
          <w:color w:val="000000" w:themeColor="text1"/>
          <w14:textFill>
            <w14:solidFill>
              <w14:schemeClr w14:val="tx1"/>
            </w14:solidFill>
          </w14:textFill>
        </w:rPr>
        <w:t>。</w:t>
      </w:r>
    </w:p>
    <w:p w14:paraId="43C0D6C2">
      <w:pPr>
        <w:spacing w:line="560" w:lineRule="exact"/>
        <w:ind w:firstLine="640" w:firstLineChars="200"/>
        <w:jc w:val="left"/>
        <w:outlineLvl w:val="1"/>
        <w:rPr>
          <w:rFonts w:ascii="仿宋" w:hAnsi="仿宋" w:eastAsia="仿宋" w:cs="仿宋"/>
          <w:color w:val="auto"/>
        </w:rPr>
      </w:pPr>
      <w:r>
        <w:rPr>
          <w:rFonts w:hint="eastAsia" w:ascii="仿宋" w:hAnsi="仿宋" w:eastAsia="仿宋" w:cs="仿宋"/>
          <w:color w:val="auto"/>
        </w:rPr>
        <w:t xml:space="preserve">乙方的银行账户信息： </w:t>
      </w:r>
    </w:p>
    <w:p w14:paraId="04CF391A">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rPr>
        <w:t xml:space="preserve">（1）开户名称：______________________； </w:t>
      </w:r>
    </w:p>
    <w:p w14:paraId="6DC2294E">
      <w:pPr>
        <w:spacing w:line="560" w:lineRule="exact"/>
        <w:ind w:firstLine="640" w:firstLineChars="200"/>
        <w:jc w:val="left"/>
        <w:rPr>
          <w:rFonts w:ascii="仿宋" w:hAnsi="仿宋" w:eastAsia="仿宋" w:cs="仿宋"/>
          <w:color w:val="auto"/>
        </w:rPr>
      </w:pPr>
      <w:r>
        <w:rPr>
          <w:rFonts w:hint="eastAsia" w:ascii="仿宋" w:hAnsi="仿宋" w:eastAsia="仿宋" w:cs="仿宋"/>
          <w:color w:val="auto"/>
        </w:rPr>
        <w:t xml:space="preserve">（2）开户银行：______________________； </w:t>
      </w:r>
    </w:p>
    <w:p w14:paraId="3AA7B3DF">
      <w:pPr>
        <w:spacing w:line="240" w:lineRule="auto"/>
        <w:ind w:firstLine="420" w:firstLineChars="0"/>
        <w:jc w:val="left"/>
        <w:rPr>
          <w:rFonts w:ascii="仿宋" w:hAnsi="仿宋" w:eastAsia="仿宋" w:cs="仿宋"/>
          <w:color w:val="auto"/>
        </w:rPr>
      </w:pPr>
      <w:r>
        <w:rPr>
          <w:rFonts w:hint="eastAsia" w:ascii="仿宋" w:hAnsi="仿宋" w:eastAsia="仿宋" w:cs="仿宋"/>
          <w:color w:val="auto"/>
        </w:rPr>
        <w:t>（3）开户账号：______________________。</w:t>
      </w:r>
    </w:p>
    <w:p w14:paraId="6C6CEDDE">
      <w:pPr>
        <w:spacing w:line="560" w:lineRule="exact"/>
        <w:ind w:firstLine="640" w:firstLineChars="200"/>
        <w:jc w:val="left"/>
        <w:outlineLvl w:val="0"/>
        <w:rPr>
          <w:rFonts w:hint="eastAsia" w:ascii="仿宋" w:hAnsi="仿宋" w:eastAsia="仿宋" w:cs="仿宋"/>
          <w:color w:val="auto"/>
        </w:rPr>
      </w:pPr>
      <w:r>
        <w:rPr>
          <w:rFonts w:hint="eastAsia" w:ascii="仿宋" w:hAnsi="仿宋" w:eastAsia="仿宋" w:cs="仿宋"/>
          <w:color w:val="auto"/>
        </w:rPr>
        <w:t>四、项目服务</w:t>
      </w:r>
      <w:r>
        <w:rPr>
          <w:rFonts w:hint="eastAsia" w:ascii="仿宋" w:hAnsi="仿宋" w:eastAsia="仿宋" w:cs="仿宋"/>
          <w:color w:val="auto"/>
          <w:lang w:eastAsia="zh-Hans"/>
        </w:rPr>
        <w:t>内容及</w:t>
      </w:r>
      <w:r>
        <w:rPr>
          <w:rFonts w:hint="eastAsia" w:ascii="仿宋" w:hAnsi="仿宋" w:eastAsia="仿宋" w:cs="仿宋"/>
          <w:color w:val="auto"/>
          <w:lang w:val="en-US" w:eastAsia="zh-CN"/>
        </w:rPr>
        <w:t>验收标准</w:t>
      </w:r>
    </w:p>
    <w:p w14:paraId="7F15A838">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szCs w:val="32"/>
          <w:lang w:val="en-US" w:eastAsia="zh-CN"/>
        </w:rPr>
        <w:t>4.1</w:t>
      </w:r>
      <w:r>
        <w:rPr>
          <w:rFonts w:hint="eastAsia" w:ascii="仿宋_GB2312" w:hAnsi="仿宋_GB2312" w:eastAsia="仿宋_GB2312" w:cs="仿宋_GB2312"/>
        </w:rPr>
        <w:t>接入龙岗全区</w:t>
      </w:r>
      <w:r>
        <w:rPr>
          <w:rFonts w:hint="eastAsia" w:ascii="仿宋_GB2312" w:hAnsi="仿宋_GB2312" w:eastAsia="仿宋_GB2312" w:cs="仿宋_GB2312"/>
          <w:lang w:val="en-US" w:eastAsia="zh-CN"/>
        </w:rPr>
        <w:t>1.8</w:t>
      </w:r>
      <w:r>
        <w:rPr>
          <w:rFonts w:hint="eastAsia" w:ascii="仿宋_GB2312" w:hAnsi="仿宋_GB2312" w:eastAsia="仿宋_GB2312" w:cs="仿宋_GB2312"/>
        </w:rPr>
        <w:t>万个电动自行车</w:t>
      </w:r>
      <w:r>
        <w:rPr>
          <w:rFonts w:hint="eastAsia" w:ascii="仿宋_GB2312" w:hAnsi="仿宋_GB2312" w:eastAsia="仿宋_GB2312" w:cs="仿宋_GB2312"/>
          <w:lang w:val="en-US" w:eastAsia="zh-CN"/>
        </w:rPr>
        <w:t>充电</w:t>
      </w:r>
      <w:r>
        <w:rPr>
          <w:rFonts w:hint="eastAsia" w:ascii="仿宋_GB2312" w:hAnsi="仿宋_GB2312" w:eastAsia="仿宋_GB2312" w:cs="仿宋_GB2312"/>
        </w:rPr>
        <w:t>桩、</w:t>
      </w:r>
      <w:r>
        <w:rPr>
          <w:rFonts w:hint="eastAsia" w:ascii="仿宋_GB2312" w:hAnsi="仿宋_GB2312" w:eastAsia="仿宋_GB2312" w:cs="仿宋_GB2312"/>
          <w:lang w:val="en-US" w:eastAsia="zh-CN"/>
        </w:rPr>
        <w:t>13.8</w:t>
      </w:r>
      <w:r>
        <w:rPr>
          <w:rFonts w:hint="eastAsia" w:ascii="仿宋_GB2312" w:hAnsi="仿宋_GB2312" w:eastAsia="仿宋_GB2312" w:cs="仿宋_GB2312"/>
        </w:rPr>
        <w:t>万个电动自行车</w:t>
      </w:r>
      <w:r>
        <w:rPr>
          <w:rFonts w:hint="eastAsia" w:ascii="仿宋_GB2312" w:hAnsi="仿宋_GB2312" w:eastAsia="仿宋_GB2312" w:cs="仿宋_GB2312"/>
          <w:lang w:val="en-US" w:eastAsia="zh-CN"/>
        </w:rPr>
        <w:t>充电</w:t>
      </w:r>
      <w:r>
        <w:rPr>
          <w:rFonts w:hint="eastAsia" w:ascii="仿宋_GB2312" w:hAnsi="仿宋_GB2312" w:eastAsia="仿宋_GB2312" w:cs="仿宋_GB2312"/>
        </w:rPr>
        <w:t>桩端口、</w:t>
      </w:r>
      <w:r>
        <w:rPr>
          <w:rFonts w:hint="eastAsia" w:ascii="仿宋_GB2312" w:hAnsi="仿宋_GB2312" w:eastAsia="仿宋_GB2312" w:cs="仿宋_GB2312"/>
          <w:lang w:val="en-US" w:eastAsia="zh-CN"/>
        </w:rPr>
        <w:t>420</w:t>
      </w:r>
      <w:r>
        <w:rPr>
          <w:rFonts w:hint="eastAsia" w:ascii="仿宋_GB2312" w:hAnsi="仿宋_GB2312" w:eastAsia="仿宋_GB2312" w:cs="仿宋_GB2312"/>
        </w:rPr>
        <w:t>家</w:t>
      </w:r>
      <w:r>
        <w:rPr>
          <w:rFonts w:hint="eastAsia" w:ascii="仿宋_GB2312" w:hAnsi="仿宋_GB2312" w:eastAsia="仿宋_GB2312" w:cs="仿宋_GB2312"/>
          <w:lang w:val="en-US" w:eastAsia="zh-CN"/>
        </w:rPr>
        <w:t>充电桩</w:t>
      </w:r>
      <w:r>
        <w:rPr>
          <w:rFonts w:hint="eastAsia" w:ascii="仿宋_GB2312" w:hAnsi="仿宋_GB2312" w:eastAsia="仿宋_GB2312" w:cs="仿宋_GB2312"/>
        </w:rPr>
        <w:t>运营企业的数据</w:t>
      </w:r>
    </w:p>
    <w:p w14:paraId="7A80DF75">
      <w:pPr>
        <w:spacing w:line="560" w:lineRule="exact"/>
        <w:ind w:firstLine="640" w:firstLineChars="200"/>
        <w:rPr>
          <w:rFonts w:hint="eastAsia" w:ascii="仿宋_GB2312" w:hAnsi="仿宋_GB2312" w:eastAsia="仿宋_GB2312" w:cs="仿宋_GB2312"/>
          <w:lang w:val="en-US" w:eastAsia="zh-CN"/>
        </w:rPr>
      </w:pPr>
    </w:p>
    <w:p w14:paraId="3EF3EA8B">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szCs w:val="32"/>
          <w:lang w:val="en-US" w:eastAsia="zh-CN"/>
        </w:rPr>
        <w:t>4.2</w:t>
      </w:r>
      <w:r>
        <w:rPr>
          <w:rFonts w:hint="eastAsia" w:ascii="仿宋_GB2312" w:hAnsi="仿宋_GB2312" w:eastAsia="仿宋_GB2312" w:cs="仿宋_GB2312"/>
        </w:rPr>
        <w:t>搭建电动自行车智慧防控系统管理汇聚数据</w:t>
      </w:r>
    </w:p>
    <w:p w14:paraId="5A981F67">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搭建电动自行车智慧防控系统，实现全区充换电场站充换电设施的数据查看与管理，方便消防部门和街道办进行充换电场站消防安全场景监管。建立多层级的智能预警规则引擎，满足多渠道（语音、短信、小程序等）的告警推送能力。</w:t>
      </w:r>
    </w:p>
    <w:p w14:paraId="139A04F6">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实现从预警发现到闭环处置、事件存档的全流程闭环管理，方便回溯与复盘分析。</w:t>
      </w:r>
    </w:p>
    <w:p w14:paraId="199C5514">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szCs w:val="32"/>
          <w:lang w:val="en-US" w:eastAsia="zh-CN"/>
        </w:rPr>
        <w:t>4.3</w:t>
      </w:r>
      <w:r>
        <w:rPr>
          <w:rFonts w:hint="eastAsia" w:ascii="仿宋_GB2312" w:hAnsi="仿宋_GB2312" w:eastAsia="仿宋_GB2312" w:cs="仿宋_GB2312"/>
        </w:rPr>
        <w:t>基于i龙岗小程序，搭建充电监管模块，实现责任到人、闭环处置</w:t>
      </w:r>
    </w:p>
    <w:p w14:paraId="17E01008">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当场站充换电设施发出隐患预警时，系统第一时间通知到运营企业人员。基于i龙岗小程序，搭建充电监管模块，方便责任人上报处置过程，方便消防、街道查看处置进度，同时系统将自动记录运营企业成员响应处置的过程，满足运营企业消防安全主体责任履行需要。</w:t>
      </w:r>
    </w:p>
    <w:p w14:paraId="10037377">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并拟定相关机制，要求运营企业按照规范机制落实主体责任。</w:t>
      </w:r>
    </w:p>
    <w:p w14:paraId="5B166296">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szCs w:val="32"/>
          <w:lang w:val="en-US" w:eastAsia="zh-CN"/>
        </w:rPr>
        <w:t>4.4</w:t>
      </w:r>
      <w:r>
        <w:rPr>
          <w:rFonts w:hint="eastAsia" w:ascii="仿宋_GB2312" w:hAnsi="仿宋_GB2312" w:eastAsia="仿宋_GB2312" w:cs="仿宋_GB2312"/>
        </w:rPr>
        <w:t>实现隐患事件智能预警，火警事件快速推送</w:t>
      </w:r>
    </w:p>
    <w:p w14:paraId="1A3F21B7">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rPr>
        <w:tab/>
      </w:r>
      <w:r>
        <w:rPr>
          <w:rFonts w:hint="eastAsia" w:ascii="仿宋_GB2312" w:hAnsi="仿宋_GB2312" w:eastAsia="仿宋_GB2312" w:cs="仿宋_GB2312"/>
        </w:rPr>
        <w:t>建立预警规则配置，满足预警分级、智能精准推送指定人员的需求，使过往的“被动接警”转变为“主动预警”，并针对最高危的火警事件，实现推送通道的高优先级保障，一旦确认火警，平台自动通知相关人员，消防部门值班中心成员可及时接收查看到火警信息和所属场站信息，触发消防部门的火警处置流程，最大限度缩短消防力量到场时间。</w:t>
      </w:r>
    </w:p>
    <w:p w14:paraId="68B90B87">
      <w:pPr>
        <w:snapToGrid/>
        <w:spacing w:line="560" w:lineRule="exact"/>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val="en-US" w:eastAsia="zh-CN"/>
        </w:rPr>
        <w:t>五、</w:t>
      </w:r>
      <w:r>
        <w:rPr>
          <w:rFonts w:hint="eastAsia" w:ascii="仿宋_GB2312" w:hAnsi="仿宋_GB2312" w:eastAsia="仿宋_GB2312" w:cs="仿宋_GB2312"/>
          <w:b w:val="0"/>
          <w:sz w:val="32"/>
          <w:szCs w:val="32"/>
        </w:rPr>
        <w:t>服务成果的交付及验收</w:t>
      </w:r>
    </w:p>
    <w:p w14:paraId="387DE2F5">
      <w:pPr>
        <w:snapToGrid/>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val="en-US" w:eastAsia="zh-CN"/>
        </w:rPr>
        <w:t xml:space="preserve">.1 </w:t>
      </w:r>
      <w:r>
        <w:rPr>
          <w:rFonts w:hint="eastAsia" w:ascii="仿宋_GB2312" w:hAnsi="仿宋_GB2312" w:eastAsia="仿宋_GB2312" w:cs="仿宋_GB2312"/>
          <w:sz w:val="32"/>
          <w:szCs w:val="32"/>
        </w:rPr>
        <w:t>乙方完成本合同全部服务内容，向甲方交付合同约定服务成果并经甲方组织的专家评审通过后签署验收合格报告。</w:t>
      </w:r>
    </w:p>
    <w:p w14:paraId="153777D4">
      <w:pPr>
        <w:snapToGrid/>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val="en-US" w:eastAsia="zh-CN"/>
        </w:rPr>
        <w:t xml:space="preserve">.2 </w:t>
      </w:r>
      <w:r>
        <w:rPr>
          <w:rFonts w:hint="eastAsia" w:ascii="仿宋_GB2312" w:hAnsi="仿宋_GB2312" w:eastAsia="仿宋_GB2312" w:cs="仿宋_GB2312"/>
          <w:sz w:val="32"/>
          <w:szCs w:val="32"/>
        </w:rPr>
        <w:t>验收依据为项目招标文件、乙方投标应答文件，国家和行业有关规范、规程和标准。</w:t>
      </w:r>
    </w:p>
    <w:p w14:paraId="68674AE6">
      <w:pPr>
        <w:snapToGrid/>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val="en-US" w:eastAsia="zh-CN"/>
        </w:rPr>
        <w:t xml:space="preserve">.3 </w:t>
      </w:r>
      <w:r>
        <w:rPr>
          <w:rFonts w:hint="eastAsia" w:ascii="仿宋_GB2312" w:hAnsi="仿宋_GB2312" w:eastAsia="仿宋_GB2312" w:cs="仿宋_GB2312"/>
          <w:sz w:val="32"/>
          <w:szCs w:val="32"/>
        </w:rPr>
        <w:t>乙方完成服务内容，完整地提交相应服务成果，并向甲方提交验收申请。甲方在收到乙方验收申请后</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个工作日内完成专家验收或组织第三方专业机构进行评审，甲方应签署验收合格报告确认乙方完成服务。若由于乙方原因致使项目未能通过验收，甲方有权向乙方提出审查意见或建议。乙方收到甲方提出的相关审查意见或建议后对相关工作成果进行补充、修改、完善或采取其他补救措施。双方按照上述程序再次组织验收，直至甲方签署验收合格报告为止。</w:t>
      </w:r>
    </w:p>
    <w:p w14:paraId="02AAE52D">
      <w:pPr>
        <w:snapToGrid/>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val="en-US" w:eastAsia="zh-CN"/>
        </w:rPr>
        <w:t xml:space="preserve">.4 </w:t>
      </w:r>
      <w:r>
        <w:rPr>
          <w:rFonts w:hint="eastAsia" w:ascii="仿宋_GB2312" w:hAnsi="仿宋_GB2312" w:eastAsia="仿宋_GB2312" w:cs="仿宋_GB2312"/>
          <w:sz w:val="32"/>
          <w:szCs w:val="32"/>
        </w:rPr>
        <w:t>双方一致同意，甲方一经签署项目验收合格报告即视为本合同项下的项目全部获得验收合格。</w:t>
      </w:r>
    </w:p>
    <w:p w14:paraId="2F17FA14">
      <w:pPr>
        <w:snapToGrid/>
        <w:spacing w:line="560" w:lineRule="exact"/>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val="en-US" w:eastAsia="zh-CN"/>
        </w:rPr>
        <w:t>六、</w:t>
      </w:r>
      <w:r>
        <w:rPr>
          <w:rFonts w:hint="eastAsia" w:ascii="仿宋_GB2312" w:hAnsi="仿宋_GB2312" w:eastAsia="仿宋_GB2312" w:cs="仿宋_GB2312"/>
          <w:b w:val="0"/>
          <w:sz w:val="32"/>
          <w:szCs w:val="32"/>
        </w:rPr>
        <w:t>知识产权及归属</w:t>
      </w:r>
    </w:p>
    <w:p w14:paraId="7BF16461">
      <w:pPr>
        <w:snapToGrid/>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lang w:val="en-US" w:eastAsia="zh-CN"/>
        </w:rPr>
        <w:t xml:space="preserve">.1 </w:t>
      </w:r>
      <w:r>
        <w:rPr>
          <w:rFonts w:hint="eastAsia" w:ascii="仿宋_GB2312" w:hAnsi="仿宋_GB2312" w:eastAsia="仿宋_GB2312" w:cs="仿宋_GB2312"/>
          <w:sz w:val="32"/>
          <w:szCs w:val="32"/>
        </w:rPr>
        <w:t>本合同签订前就已经存在的背景知识产权仍归原权利人所有，不因本合同发生任何形式的转移。</w:t>
      </w:r>
    </w:p>
    <w:p w14:paraId="36CFBE68">
      <w:pPr>
        <w:snapToGrid/>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lang w:val="en-US" w:eastAsia="zh-CN"/>
        </w:rPr>
        <w:t xml:space="preserve">.2 </w:t>
      </w:r>
      <w:r>
        <w:rPr>
          <w:rFonts w:hint="eastAsia" w:ascii="仿宋_GB2312" w:hAnsi="仿宋_GB2312" w:eastAsia="仿宋_GB2312" w:cs="仿宋_GB2312"/>
          <w:sz w:val="32"/>
          <w:szCs w:val="32"/>
        </w:rPr>
        <w:t>因履行本合同所产生的开发成果及其相关知识产权权利归属，按下列方式处理：</w:t>
      </w:r>
    </w:p>
    <w:p w14:paraId="3B84D321">
      <w:pPr>
        <w:snapToGrid/>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（1）乙方根据甲方提供信息所产生的、为本项目专属定制的模型、流程、软件、系统等有关技术成果的全部知识产权，归甲方所有，乙方应将定制化部分的源代码提交给甲方；</w:t>
      </w:r>
    </w:p>
    <w:p w14:paraId="50B05B50">
      <w:pPr>
        <w:snapToGrid/>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为满足项目研发而投入的组件、工具、开发框架及其源代码程序（该等组件、工具、开发框架及其源代码程序应为与本项目技术软件无关的独立的另一程序且不影响甲方对本服务的定制化软件源代码程序的使用）的知识产权及所有权仍归乙方所有并由乙方自行保管。</w:t>
      </w:r>
    </w:p>
    <w:p w14:paraId="204A6B92">
      <w:pPr>
        <w:snapToGrid/>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lang w:val="en-US" w:eastAsia="zh-CN"/>
        </w:rPr>
        <w:t xml:space="preserve">.3 </w:t>
      </w:r>
      <w:r>
        <w:rPr>
          <w:rFonts w:hint="eastAsia" w:ascii="仿宋_GB2312" w:hAnsi="仿宋_GB2312" w:eastAsia="仿宋_GB2312" w:cs="仿宋_GB2312"/>
          <w:sz w:val="32"/>
          <w:szCs w:val="32"/>
        </w:rPr>
        <w:t>甲乙双方保证，本方所提供的产品或服务的内容不侵犯第三方知识产权等在先合法权益以及不违反国家相关法律法规。</w:t>
      </w:r>
    </w:p>
    <w:p w14:paraId="134E3811">
      <w:pPr>
        <w:snapToGrid/>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6.4 </w:t>
      </w:r>
      <w:r>
        <w:rPr>
          <w:rFonts w:hint="eastAsia" w:ascii="仿宋_GB2312" w:hAnsi="仿宋_GB2312" w:eastAsia="仿宋_GB2312" w:cs="仿宋_GB2312"/>
          <w:sz w:val="32"/>
          <w:szCs w:val="32"/>
        </w:rPr>
        <w:t>甲方在使用乙方提供的属于第三方软件时，应当依照乙方与第三方对该软件使用的约定合法合规使用，乙方应保证甲方对乙方提供的第三方软件的使用符合法律规定。</w:t>
      </w:r>
    </w:p>
    <w:p w14:paraId="6C0F3737">
      <w:pPr>
        <w:snapToGrid/>
        <w:spacing w:line="560" w:lineRule="exact"/>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val="en-US" w:eastAsia="zh-CN"/>
        </w:rPr>
        <w:t>七、</w:t>
      </w:r>
      <w:r>
        <w:rPr>
          <w:rFonts w:hint="eastAsia" w:ascii="仿宋_GB2312" w:hAnsi="仿宋_GB2312" w:eastAsia="仿宋_GB2312" w:cs="仿宋_GB2312"/>
          <w:b w:val="0"/>
          <w:sz w:val="32"/>
          <w:szCs w:val="32"/>
        </w:rPr>
        <w:t>保密条款</w:t>
      </w:r>
    </w:p>
    <w:p w14:paraId="567BC01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提供的所有资料以及在本合同签订、履行过程中所接触到的</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及其关联公司的商业秘密、技术资料等资料和信息(以下统称“保密资料”)负有保密义务。未经</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书面许可，</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不得向任何第三方披露，不得将保密资料的部分或全部用于本合同约定事项以外的其他用途。</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仅可为本合同目的向其内部有知悉保密资料必要的雇员披露保密资料，但同时须指示其雇员遵守本条规定的保密及不披露义务。</w:t>
      </w:r>
    </w:p>
    <w:p w14:paraId="3DBBBFC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lang w:eastAsia="zh-CN"/>
        </w:rPr>
        <w:t xml:space="preserve"> 甲方</w:t>
      </w:r>
      <w:r>
        <w:rPr>
          <w:rFonts w:hint="eastAsia" w:ascii="仿宋_GB2312" w:hAnsi="仿宋_GB2312" w:eastAsia="仿宋_GB2312" w:cs="仿宋_GB2312"/>
          <w:sz w:val="32"/>
          <w:szCs w:val="32"/>
        </w:rPr>
        <w:t>应当妥善保管保密资料，并对保密资料在</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期间发生的被盗、泄露或其他有损保密资料保密性的事件承担全部责任，因此造成</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损失的，</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应当负责赔偿。</w:t>
      </w:r>
    </w:p>
    <w:p w14:paraId="5CD57526">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7.3</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除另有约定外，本保密条款自保密资料提供或披露之日起至本合同终止或解除后失效。</w:t>
      </w:r>
    </w:p>
    <w:p w14:paraId="4D390E7F">
      <w:pPr>
        <w:snapToGrid/>
        <w:spacing w:line="560" w:lineRule="exact"/>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val="en-US" w:eastAsia="zh-CN"/>
        </w:rPr>
        <w:t>八、</w:t>
      </w:r>
      <w:r>
        <w:rPr>
          <w:rFonts w:hint="eastAsia" w:ascii="仿宋_GB2312" w:hAnsi="仿宋_GB2312" w:eastAsia="仿宋_GB2312" w:cs="仿宋_GB2312"/>
          <w:b w:val="0"/>
          <w:sz w:val="32"/>
          <w:szCs w:val="32"/>
        </w:rPr>
        <w:t>违约责任</w:t>
      </w:r>
    </w:p>
    <w:p w14:paraId="5CE24E2E">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8</w:t>
      </w:r>
      <w:r>
        <w:rPr>
          <w:rFonts w:hint="eastAsia" w:ascii="仿宋_GB2312" w:hAnsi="仿宋_GB2312" w:eastAsia="仿宋_GB2312" w:cs="仿宋_GB2312"/>
          <w:sz w:val="32"/>
          <w:szCs w:val="32"/>
          <w:lang w:val="en-US" w:eastAsia="zh-CN"/>
        </w:rPr>
        <w:t xml:space="preserve">.1 </w:t>
      </w:r>
      <w:r>
        <w:rPr>
          <w:rFonts w:hint="eastAsia" w:ascii="仿宋_GB2312" w:hAnsi="仿宋_GB2312" w:eastAsia="仿宋_GB2312" w:cs="仿宋_GB2312"/>
          <w:sz w:val="32"/>
          <w:szCs w:val="32"/>
        </w:rPr>
        <w:t xml:space="preserve">本合同生效后，甲乙双方均应当全面履行合同义务。在合同履行过程中，除不可抗力因素外，任何一方不履行或未按本合同约定履行的，均构成违约，违约方应当赔偿因此给守约方造成的经济损失。 </w:t>
      </w:r>
    </w:p>
    <w:p w14:paraId="016951B2">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8</w:t>
      </w:r>
      <w:r>
        <w:rPr>
          <w:rFonts w:hint="eastAsia" w:ascii="仿宋_GB2312" w:hAnsi="仿宋_GB2312" w:eastAsia="仿宋_GB2312" w:cs="仿宋_GB2312"/>
          <w:sz w:val="32"/>
          <w:szCs w:val="32"/>
          <w:lang w:val="en-US" w:eastAsia="zh-CN"/>
        </w:rPr>
        <w:t xml:space="preserve">.2 </w:t>
      </w:r>
      <w:r>
        <w:rPr>
          <w:rFonts w:hint="eastAsia" w:ascii="仿宋_GB2312" w:hAnsi="仿宋_GB2312" w:eastAsia="仿宋_GB2312" w:cs="仿宋_GB2312"/>
          <w:sz w:val="32"/>
          <w:szCs w:val="32"/>
        </w:rPr>
        <w:t xml:space="preserve">甲方逾期付款或未按照本合同的约定提供资料或没有完成合同约定事项而造成乙方工作停滞、延误的，乙方交付工作成果的时间相应顺延。 </w:t>
      </w:r>
    </w:p>
    <w:p w14:paraId="6D25104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8</w:t>
      </w:r>
      <w:r>
        <w:rPr>
          <w:rFonts w:hint="eastAsia" w:ascii="仿宋_GB2312" w:hAnsi="仿宋_GB2312" w:eastAsia="仿宋_GB2312" w:cs="仿宋_GB2312"/>
          <w:sz w:val="32"/>
          <w:szCs w:val="32"/>
          <w:lang w:val="en-US" w:eastAsia="zh-CN"/>
        </w:rPr>
        <w:t xml:space="preserve">.3 </w:t>
      </w:r>
      <w:r>
        <w:rPr>
          <w:rFonts w:hint="eastAsia" w:ascii="仿宋_GB2312" w:hAnsi="仿宋_GB2312" w:eastAsia="仿宋_GB2312" w:cs="仿宋_GB2312"/>
          <w:sz w:val="32"/>
          <w:szCs w:val="32"/>
        </w:rPr>
        <w:t>甲方承诺遵守国家相关法律法规，不进行危害网络安全、数据安全或他人合法权益的活动，若乙方发现甲方有危害网络安全的事项等违法违规的活动，乙方有权停止服务，并解除本合同不负违约责任，本合同项下所有款项不予退还。</w:t>
      </w:r>
    </w:p>
    <w:p w14:paraId="4939A5E5">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8</w:t>
      </w:r>
      <w:r>
        <w:rPr>
          <w:rFonts w:hint="eastAsia" w:ascii="仿宋_GB2312" w:hAnsi="仿宋_GB2312" w:eastAsia="仿宋_GB2312" w:cs="仿宋_GB2312"/>
          <w:sz w:val="32"/>
          <w:szCs w:val="32"/>
          <w:lang w:val="en-US" w:eastAsia="zh-CN"/>
        </w:rPr>
        <w:t xml:space="preserve">.4 </w:t>
      </w:r>
      <w:r>
        <w:rPr>
          <w:rFonts w:hint="eastAsia" w:ascii="仿宋_GB2312" w:hAnsi="仿宋_GB2312" w:eastAsia="仿宋_GB2312" w:cs="仿宋_GB2312"/>
          <w:sz w:val="32"/>
          <w:szCs w:val="32"/>
        </w:rPr>
        <w:t xml:space="preserve">因乙方责任造成项目进度推迟或乙方提交的服务成果质量不符合本合同约定的，乙方应当及时采取补救措施进行整改，直至达到本合同要求，其费用由乙方承担。 </w:t>
      </w:r>
    </w:p>
    <w:p w14:paraId="6AD25148">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8</w:t>
      </w:r>
      <w:r>
        <w:rPr>
          <w:rFonts w:hint="eastAsia" w:ascii="仿宋_GB2312" w:hAnsi="仿宋_GB2312" w:eastAsia="仿宋_GB2312" w:cs="仿宋_GB2312"/>
          <w:sz w:val="32"/>
          <w:szCs w:val="32"/>
          <w:lang w:val="en-US" w:eastAsia="zh-CN"/>
        </w:rPr>
        <w:t xml:space="preserve">.5 </w:t>
      </w:r>
      <w:r>
        <w:rPr>
          <w:rFonts w:hint="eastAsia" w:ascii="仿宋_GB2312" w:hAnsi="仿宋_GB2312" w:eastAsia="仿宋_GB2312" w:cs="仿宋_GB2312"/>
          <w:sz w:val="32"/>
          <w:szCs w:val="32"/>
        </w:rPr>
        <w:t xml:space="preserve">因非乙方责任造成项目进度推迟或延误，无法按照合同约定的日期完成相应的服务，双方经过协商可以进一步约定完成的日期，本合同的服务期限也随之顺延，乙方对此无需承担违约责任。 </w:t>
      </w:r>
    </w:p>
    <w:p w14:paraId="5E2850AA">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任何一方不履行本合同之义务或履行义务不符合约定的，应当承担继续履行，采取补救措施或者赔偿损失等违约责任。</w:t>
      </w:r>
    </w:p>
    <w:p w14:paraId="41352457">
      <w:pPr>
        <w:snapToGrid/>
        <w:spacing w:line="560" w:lineRule="exact"/>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val="en-US" w:eastAsia="zh-CN"/>
        </w:rPr>
        <w:t>九、</w:t>
      </w:r>
      <w:r>
        <w:rPr>
          <w:rFonts w:hint="eastAsia" w:ascii="仿宋_GB2312" w:hAnsi="仿宋_GB2312" w:eastAsia="仿宋_GB2312" w:cs="仿宋_GB2312"/>
          <w:b w:val="0"/>
          <w:sz w:val="32"/>
          <w:szCs w:val="32"/>
        </w:rPr>
        <w:t>法律适用与争议解决</w:t>
      </w:r>
    </w:p>
    <w:p w14:paraId="6367D1BC">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9</w:t>
      </w:r>
      <w:r>
        <w:rPr>
          <w:rFonts w:hint="eastAsia" w:ascii="仿宋_GB2312" w:hAnsi="仿宋_GB2312" w:eastAsia="仿宋_GB2312" w:cs="仿宋_GB2312"/>
          <w:sz w:val="32"/>
          <w:szCs w:val="32"/>
          <w:lang w:val="en-US" w:eastAsia="zh-CN"/>
        </w:rPr>
        <w:t xml:space="preserve">.1 </w:t>
      </w:r>
      <w:r>
        <w:rPr>
          <w:rFonts w:hint="eastAsia" w:ascii="仿宋_GB2312" w:hAnsi="仿宋_GB2312" w:eastAsia="仿宋_GB2312" w:cs="仿宋_GB2312"/>
          <w:sz w:val="32"/>
          <w:szCs w:val="32"/>
        </w:rPr>
        <w:t>本合同之签署、有效性、解释、履行、执行及争议解决等，及各方因履行本合同引起的或与本合同有关的任何争议，均适用中国法律，并依据中国现行有效的法律、法规予以解释。</w:t>
      </w:r>
    </w:p>
    <w:p w14:paraId="721F4C17">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9</w:t>
      </w:r>
      <w:r>
        <w:rPr>
          <w:rFonts w:hint="eastAsia" w:ascii="仿宋_GB2312" w:hAnsi="仿宋_GB2312" w:eastAsia="仿宋_GB2312" w:cs="仿宋_GB2312"/>
          <w:sz w:val="32"/>
          <w:szCs w:val="32"/>
          <w:lang w:val="en-US" w:eastAsia="zh-CN"/>
        </w:rPr>
        <w:t xml:space="preserve">.2 </w:t>
      </w:r>
      <w:r>
        <w:rPr>
          <w:rFonts w:hint="eastAsia" w:ascii="仿宋_GB2312" w:hAnsi="仿宋_GB2312" w:eastAsia="仿宋_GB2312" w:cs="仿宋_GB2312"/>
          <w:sz w:val="32"/>
          <w:szCs w:val="32"/>
        </w:rPr>
        <w:t>因本合同引起的或与本合同有关的任何争议将通过双方友好协商解决。如果双方不能通过友好协商解决争议，则任何一方均有权向乙方所在地有管辖权的人民法院起诉。诉讼费、保全费、执行费、担保费、律师费、差旅费、鉴定费等与解决争议有关的费用由败诉方承担。</w:t>
      </w:r>
    </w:p>
    <w:p w14:paraId="007F987A">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9</w:t>
      </w:r>
      <w:r>
        <w:rPr>
          <w:rFonts w:hint="eastAsia" w:ascii="仿宋_GB2312" w:hAnsi="仿宋_GB2312" w:eastAsia="仿宋_GB2312" w:cs="仿宋_GB2312"/>
          <w:sz w:val="32"/>
          <w:szCs w:val="32"/>
          <w:lang w:val="en-US" w:eastAsia="zh-CN"/>
        </w:rPr>
        <w:t xml:space="preserve">.3 </w:t>
      </w:r>
      <w:r>
        <w:rPr>
          <w:rFonts w:hint="eastAsia" w:ascii="仿宋_GB2312" w:hAnsi="仿宋_GB2312" w:eastAsia="仿宋_GB2312" w:cs="仿宋_GB2312"/>
          <w:sz w:val="32"/>
          <w:szCs w:val="32"/>
        </w:rPr>
        <w:t>诉讼进行过程中，双方将继续履行本合同未涉争议或诉讼的其他部分。</w:t>
      </w:r>
    </w:p>
    <w:p w14:paraId="57723C9E">
      <w:pPr>
        <w:snapToGrid/>
        <w:spacing w:line="560" w:lineRule="exact"/>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val="en-US" w:eastAsia="zh-CN"/>
        </w:rPr>
        <w:t>十、</w:t>
      </w:r>
      <w:r>
        <w:rPr>
          <w:rFonts w:hint="eastAsia" w:ascii="仿宋_GB2312" w:hAnsi="仿宋_GB2312" w:eastAsia="仿宋_GB2312" w:cs="仿宋_GB2312"/>
          <w:b w:val="0"/>
          <w:sz w:val="32"/>
          <w:szCs w:val="32"/>
        </w:rPr>
        <w:t>合同变更与解除</w:t>
      </w:r>
    </w:p>
    <w:p w14:paraId="359E23B9">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 xml:space="preserve">0.1 </w:t>
      </w:r>
      <w:r>
        <w:rPr>
          <w:rFonts w:hint="eastAsia" w:ascii="仿宋_GB2312" w:hAnsi="仿宋_GB2312" w:eastAsia="仿宋_GB2312" w:cs="仿宋_GB2312"/>
          <w:sz w:val="32"/>
          <w:szCs w:val="32"/>
        </w:rPr>
        <w:t>本合同履行期间，甲、乙任何一方需变更本合同的，要求变更的一方应当及时书面通知对方，经双方协商一致后，签订书面变更/补充合同；该变更/补充合同将成为本合同不可分割的部分。未经双方签署书面文件，任何一方无权变更本合同。</w:t>
      </w:r>
    </w:p>
    <w:p w14:paraId="0B060959">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 xml:space="preserve">0.2 </w:t>
      </w:r>
      <w:r>
        <w:rPr>
          <w:rFonts w:hint="eastAsia" w:ascii="仿宋_GB2312" w:hAnsi="仿宋_GB2312" w:eastAsia="仿宋_GB2312" w:cs="仿宋_GB2312"/>
          <w:sz w:val="32"/>
          <w:szCs w:val="32"/>
        </w:rPr>
        <w:t>除本合同约定和法律法规规定一方有权中止或解除合同的情形外，任一方不得随意中止或提前解除本合同。</w:t>
      </w:r>
    </w:p>
    <w:p w14:paraId="00A5AFE8">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 xml:space="preserve">0.3 </w:t>
      </w:r>
      <w:r>
        <w:rPr>
          <w:rFonts w:hint="eastAsia" w:ascii="仿宋_GB2312" w:hAnsi="仿宋_GB2312" w:eastAsia="仿宋_GB2312" w:cs="仿宋_GB2312"/>
          <w:sz w:val="32"/>
          <w:szCs w:val="32"/>
        </w:rPr>
        <w:t>乙方完成全部服务内容，且甲方付清合同价款后本合同终止。</w:t>
      </w:r>
    </w:p>
    <w:p w14:paraId="46B5D141">
      <w:pPr>
        <w:snapToGrid/>
        <w:spacing w:line="560" w:lineRule="exact"/>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val="en-US" w:eastAsia="zh-CN"/>
        </w:rPr>
        <w:t>十一、</w:t>
      </w:r>
      <w:r>
        <w:rPr>
          <w:rFonts w:hint="eastAsia" w:ascii="仿宋_GB2312" w:hAnsi="仿宋_GB2312" w:eastAsia="仿宋_GB2312" w:cs="仿宋_GB2312"/>
          <w:b w:val="0"/>
          <w:sz w:val="32"/>
          <w:szCs w:val="32"/>
        </w:rPr>
        <w:t>不可抗力</w:t>
      </w:r>
    </w:p>
    <w:p w14:paraId="06D4FBF7">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 xml:space="preserve">1.1 </w:t>
      </w:r>
      <w:r>
        <w:rPr>
          <w:rFonts w:hint="eastAsia" w:ascii="仿宋_GB2312" w:hAnsi="仿宋_GB2312" w:eastAsia="仿宋_GB2312" w:cs="仿宋_GB2312"/>
          <w:sz w:val="32"/>
          <w:szCs w:val="32"/>
        </w:rPr>
        <w:t>如果本合同任何一方因受不可抗力事件影响而未能履行其在本合同下的全部或部分义务，该义务的履行在不可抗力事件妨碍其履行期间应予中止。不可抗力是甲乙双方不能预见、不能避免且不能克服的客观情况，包括：地震、台风、水灾、火灾、政府行为、战争等。受到不可抗力事件影响的一方延期履行义务，不应视为违反本合同约定。</w:t>
      </w:r>
    </w:p>
    <w:p w14:paraId="74E80EBF">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 xml:space="preserve">1.2 </w:t>
      </w:r>
      <w:r>
        <w:rPr>
          <w:rFonts w:hint="eastAsia" w:ascii="仿宋_GB2312" w:hAnsi="仿宋_GB2312" w:eastAsia="仿宋_GB2312" w:cs="仿宋_GB2312"/>
          <w:sz w:val="32"/>
          <w:szCs w:val="32"/>
        </w:rPr>
        <w:t>声称受到不可抗力事件影响的一方应尽可能在最短的时间内通过书面形式将不可抗力事件的发生通知另一方。</w:t>
      </w:r>
    </w:p>
    <w:p w14:paraId="375DD66D">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 xml:space="preserve">1.3 </w:t>
      </w:r>
      <w:r>
        <w:rPr>
          <w:rFonts w:hint="eastAsia" w:ascii="仿宋_GB2312" w:hAnsi="仿宋_GB2312" w:eastAsia="仿宋_GB2312" w:cs="仿宋_GB2312"/>
          <w:sz w:val="32"/>
          <w:szCs w:val="32"/>
        </w:rPr>
        <w:t>发生影响履行本合同的不可抗力事件后，甲乙双方应及时协商制定并实施补救计划和合理的替代措施，减少或消除不可抗力事件的影响。同时，双方应按照不可抗力事件对履行合同影响的程度，由双方协商决定是否解除合同，或者修改变更合同内容，或者延期履行合同等。任何一方迟延履行本合同后发生不可抗力的，不能免除责任。</w:t>
      </w:r>
    </w:p>
    <w:p w14:paraId="16604D84">
      <w:pPr>
        <w:snapToGrid/>
        <w:spacing w:line="560" w:lineRule="exact"/>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val="en-US" w:eastAsia="zh-CN"/>
        </w:rPr>
        <w:t>十二、</w:t>
      </w:r>
      <w:r>
        <w:rPr>
          <w:rFonts w:hint="eastAsia" w:ascii="仿宋_GB2312" w:hAnsi="仿宋_GB2312" w:eastAsia="仿宋_GB2312" w:cs="仿宋_GB2312"/>
          <w:b w:val="0"/>
          <w:sz w:val="32"/>
          <w:szCs w:val="32"/>
        </w:rPr>
        <w:t>其他条款</w:t>
      </w:r>
    </w:p>
    <w:p w14:paraId="4D75B6C4">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1 </w:t>
      </w:r>
      <w:r>
        <w:rPr>
          <w:rFonts w:hint="eastAsia" w:ascii="仿宋_GB2312" w:hAnsi="仿宋_GB2312" w:eastAsia="仿宋_GB2312" w:cs="仿宋_GB2312"/>
          <w:sz w:val="32"/>
          <w:szCs w:val="32"/>
        </w:rPr>
        <w:t>本合同一式</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份，甲乙双方各执</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份，各份具有同等效力。本合同自甲乙双方法定代表人/授权代表签字并盖章之日起生效。</w:t>
      </w:r>
    </w:p>
    <w:p w14:paraId="7231C618">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2 </w:t>
      </w:r>
      <w:r>
        <w:rPr>
          <w:rFonts w:hint="eastAsia" w:ascii="仿宋_GB2312" w:hAnsi="仿宋_GB2312" w:eastAsia="仿宋_GB2312" w:cs="仿宋_GB2312"/>
          <w:sz w:val="32"/>
          <w:szCs w:val="32"/>
        </w:rPr>
        <w:t>如果本合同的任何条款在任何时候变成不合法、无效或不可强制执行而不从根本上影响本合同的效力时，本合同的其他条款不受影响。</w:t>
      </w:r>
    </w:p>
    <w:p w14:paraId="4D8BB5ED">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3 </w:t>
      </w:r>
      <w:r>
        <w:rPr>
          <w:rFonts w:hint="eastAsia" w:ascii="仿宋_GB2312" w:hAnsi="仿宋_GB2312" w:eastAsia="仿宋_GB2312" w:cs="仿宋_GB2312"/>
          <w:sz w:val="32"/>
          <w:szCs w:val="32"/>
        </w:rPr>
        <w:t>本合同各条标题仅为提示之用，应以条文内容确定双方的权利义务。本合同文本不得涂改，任何涂改均属无效。</w:t>
      </w:r>
    </w:p>
    <w:p w14:paraId="2B3A065C">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4 </w:t>
      </w:r>
      <w:r>
        <w:rPr>
          <w:rFonts w:hint="eastAsia" w:ascii="仿宋_GB2312" w:hAnsi="仿宋_GB2312" w:eastAsia="仿宋_GB2312" w:cs="仿宋_GB2312"/>
          <w:sz w:val="32"/>
          <w:szCs w:val="32"/>
        </w:rPr>
        <w:t>本合同替代此前双方所有关于本合同事项的口头或书面的纪要、备忘录、合同和协议等法律文件。</w:t>
      </w:r>
    </w:p>
    <w:p w14:paraId="49FB8B93">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5 </w:t>
      </w:r>
      <w:r>
        <w:rPr>
          <w:rFonts w:hint="eastAsia" w:ascii="仿宋_GB2312" w:hAnsi="仿宋_GB2312" w:eastAsia="仿宋_GB2312" w:cs="仿宋_GB2312"/>
          <w:sz w:val="32"/>
          <w:szCs w:val="32"/>
        </w:rPr>
        <w:t>甲乙双方因履行本合同或与本合同有关的一切通知都必须按照本合同首页约定的联系方式，以书面信函或者电子邮件方式进行。</w:t>
      </w:r>
    </w:p>
    <w:p w14:paraId="480A6756">
      <w:pPr>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6 </w:t>
      </w:r>
      <w:r>
        <w:rPr>
          <w:rFonts w:hint="eastAsia" w:ascii="仿宋_GB2312" w:hAnsi="仿宋_GB2312" w:eastAsia="仿宋_GB2312" w:cs="仿宋_GB2312"/>
          <w:sz w:val="32"/>
          <w:szCs w:val="32"/>
        </w:rPr>
        <w:t>本合同履行过程中，如需要修订、补充文件或任何附件的，均须经双方法定代表人或授权代表签字并盖章后生效，成为本合同不可分割的一部分。</w:t>
      </w:r>
    </w:p>
    <w:p w14:paraId="7D60FF27">
      <w:pPr>
        <w:snapToGrid/>
        <w:spacing w:line="440" w:lineRule="exact"/>
        <w:ind w:firstLine="640" w:firstLineChars="200"/>
        <w:rPr>
          <w:rFonts w:hint="eastAsia" w:ascii="仿宋_GB2312" w:hAnsi="仿宋" w:eastAsia="仿宋_GB2312"/>
          <w:sz w:val="32"/>
          <w:szCs w:val="32"/>
        </w:rPr>
      </w:pPr>
    </w:p>
    <w:p w14:paraId="23C790D8">
      <w:pPr>
        <w:spacing w:line="440" w:lineRule="exact"/>
        <w:ind w:firstLine="640" w:firstLineChars="200"/>
        <w:rPr>
          <w:rFonts w:hint="eastAsia" w:ascii="仿宋" w:hAnsi="仿宋" w:eastAsia="仿宋" w:cs="仿宋"/>
        </w:rPr>
      </w:pPr>
      <w:r>
        <w:rPr>
          <w:rFonts w:hint="eastAsia" w:ascii="仿宋" w:hAnsi="仿宋" w:eastAsia="仿宋" w:cs="仿宋"/>
          <w:color w:val="auto"/>
          <w:lang w:val="en-US" w:eastAsia="zh-CN"/>
        </w:rPr>
        <w:t>、</w:t>
      </w:r>
    </w:p>
    <w:p w14:paraId="6D7CBDBD">
      <w:pPr>
        <w:spacing w:line="560" w:lineRule="exact"/>
        <w:ind w:firstLine="640" w:firstLineChars="200"/>
        <w:jc w:val="left"/>
        <w:rPr>
          <w:rFonts w:hint="eastAsia" w:ascii="仿宋" w:hAnsi="仿宋" w:eastAsia="仿宋" w:cs="仿宋"/>
          <w:color w:val="auto"/>
        </w:rPr>
      </w:pPr>
      <w:r>
        <w:rPr>
          <w:rFonts w:hint="eastAsia" w:ascii="仿宋" w:hAnsi="仿宋" w:eastAsia="仿宋" w:cs="仿宋"/>
          <w:color w:val="auto"/>
        </w:rPr>
        <w:t xml:space="preserve">（以下无正文） </w:t>
      </w:r>
    </w:p>
    <w:p w14:paraId="7386258E">
      <w:pPr>
        <w:pStyle w:val="13"/>
        <w:rPr>
          <w:rFonts w:hint="eastAsia" w:ascii="仿宋" w:hAnsi="仿宋" w:eastAsia="仿宋" w:cs="仿宋"/>
          <w:color w:val="auto"/>
        </w:rPr>
      </w:pPr>
    </w:p>
    <w:p w14:paraId="7612C020"/>
    <w:p w14:paraId="2A54EAC1">
      <w:pPr>
        <w:spacing w:line="560" w:lineRule="exact"/>
        <w:jc w:val="left"/>
        <w:rPr>
          <w:rFonts w:ascii="仿宋" w:hAnsi="仿宋" w:eastAsia="仿宋" w:cs="仿宋"/>
          <w:color w:val="auto"/>
        </w:rPr>
      </w:pPr>
      <w:r>
        <w:rPr>
          <w:rFonts w:hint="eastAsia" w:ascii="仿宋" w:hAnsi="仿宋" w:eastAsia="仿宋" w:cs="仿宋"/>
          <w:color w:val="auto"/>
        </w:rPr>
        <w:t xml:space="preserve">甲方（盖章）：              乙方（盖章）： </w:t>
      </w:r>
    </w:p>
    <w:p w14:paraId="00BA86D1">
      <w:pPr>
        <w:spacing w:line="560" w:lineRule="exact"/>
        <w:jc w:val="left"/>
        <w:rPr>
          <w:rFonts w:ascii="仿宋" w:hAnsi="仿宋" w:eastAsia="仿宋" w:cs="仿宋"/>
          <w:color w:val="auto"/>
        </w:rPr>
      </w:pPr>
      <w:r>
        <w:rPr>
          <w:rFonts w:hint="eastAsia" w:ascii="仿宋" w:hAnsi="仿宋" w:eastAsia="仿宋" w:cs="仿宋"/>
          <w:color w:val="auto"/>
        </w:rPr>
        <w:t xml:space="preserve">代表：                      代表： </w:t>
      </w:r>
    </w:p>
    <w:p w14:paraId="3BD3278C">
      <w:pPr>
        <w:spacing w:line="560" w:lineRule="exact"/>
        <w:jc w:val="left"/>
        <w:rPr>
          <w:rFonts w:hint="eastAsia" w:ascii="仿宋" w:hAnsi="仿宋" w:eastAsia="仿宋" w:cs="仿宋"/>
          <w:color w:val="auto"/>
        </w:rPr>
      </w:pPr>
      <w:r>
        <w:rPr>
          <w:rFonts w:hint="eastAsia" w:ascii="仿宋" w:hAnsi="仿宋" w:eastAsia="仿宋" w:cs="仿宋"/>
          <w:color w:val="auto"/>
        </w:rPr>
        <w:t xml:space="preserve">地址：                      地址： </w:t>
      </w:r>
    </w:p>
    <w:p w14:paraId="01DC14F4">
      <w:pPr>
        <w:spacing w:line="560" w:lineRule="exact"/>
        <w:jc w:val="left"/>
        <w:rPr>
          <w:rFonts w:ascii="仿宋" w:hAnsi="仿宋" w:eastAsia="仿宋" w:cs="仿宋"/>
          <w:color w:val="auto"/>
        </w:rPr>
      </w:pPr>
      <w:r>
        <w:rPr>
          <w:rFonts w:hint="eastAsia" w:ascii="仿宋" w:hAnsi="仿宋" w:eastAsia="仿宋" w:cs="仿宋"/>
          <w:color w:val="auto"/>
        </w:rPr>
        <w:t xml:space="preserve">电话：                      电话： </w:t>
      </w:r>
    </w:p>
    <w:p w14:paraId="44B4993F">
      <w:pPr>
        <w:spacing w:line="560" w:lineRule="exact"/>
        <w:ind w:firstLine="0" w:firstLineChars="0"/>
        <w:jc w:val="left"/>
        <w:rPr>
          <w:rFonts w:hint="default" w:ascii="仿宋" w:hAnsi="仿宋" w:eastAsia="仿宋" w:cs="仿宋"/>
          <w:color w:val="auto"/>
          <w:lang w:val="en-US" w:eastAsia="zh-CN"/>
        </w:rPr>
      </w:pPr>
      <w:r>
        <w:rPr>
          <w:rFonts w:hint="eastAsia" w:ascii="仿宋" w:hAnsi="仿宋" w:eastAsia="仿宋" w:cs="仿宋"/>
          <w:color w:val="auto"/>
          <w:lang w:val="en-US" w:eastAsia="zh-CN"/>
        </w:rPr>
        <w:t>日期:                       日期：</w:t>
      </w:r>
    </w:p>
    <w:p w14:paraId="76B0FCC2">
      <w:pPr>
        <w:spacing w:line="560" w:lineRule="exact"/>
        <w:ind w:firstLine="640" w:firstLineChars="200"/>
        <w:jc w:val="left"/>
        <w:rPr>
          <w:rFonts w:hint="eastAsia" w:ascii="仿宋" w:hAnsi="仿宋" w:eastAsia="仿宋" w:cs="仿宋"/>
          <w:color w:val="auto"/>
        </w:rPr>
      </w:pPr>
    </w:p>
    <w:p w14:paraId="5F2D432D">
      <w:pPr>
        <w:spacing w:line="560" w:lineRule="exact"/>
        <w:ind w:firstLine="640" w:firstLineChars="200"/>
        <w:jc w:val="left"/>
        <w:rPr>
          <w:rFonts w:hint="eastAsia" w:ascii="仿宋" w:hAnsi="仿宋" w:eastAsia="仿宋" w:cs="仿宋"/>
          <w:color w:val="auto"/>
        </w:rPr>
      </w:pPr>
    </w:p>
    <w:p w14:paraId="24A6E779">
      <w:pPr>
        <w:spacing w:line="560" w:lineRule="exact"/>
        <w:ind w:firstLine="640" w:firstLineChars="200"/>
        <w:jc w:val="left"/>
        <w:rPr>
          <w:rFonts w:hint="eastAsia" w:ascii="仿宋" w:hAnsi="仿宋" w:eastAsia="仿宋" w:cs="仿宋"/>
          <w:color w:val="auto"/>
        </w:rPr>
      </w:pPr>
    </w:p>
    <w:p w14:paraId="7889BF54">
      <w:pPr>
        <w:spacing w:line="560" w:lineRule="exact"/>
        <w:ind w:firstLine="640" w:firstLineChars="200"/>
        <w:jc w:val="left"/>
        <w:outlineLvl w:val="2"/>
        <w:rPr>
          <w:rFonts w:ascii="仿宋" w:hAnsi="仿宋" w:eastAsia="仿宋" w:cs="仿宋"/>
          <w:color w:val="auto"/>
        </w:rPr>
      </w:pPr>
      <w:r>
        <w:rPr>
          <w:rFonts w:hint="eastAsia" w:ascii="仿宋" w:hAnsi="仿宋" w:eastAsia="仿宋" w:cs="仿宋"/>
          <w:color w:val="auto"/>
        </w:rPr>
        <w:t>（四）交付验收方案</w:t>
      </w:r>
    </w:p>
    <w:p w14:paraId="0EB41BFE">
      <w:pPr>
        <w:spacing w:line="560" w:lineRule="exact"/>
        <w:ind w:firstLine="640" w:firstLineChars="200"/>
        <w:jc w:val="left"/>
        <w:outlineLvl w:val="3"/>
        <w:rPr>
          <w:rFonts w:ascii="仿宋" w:hAnsi="仿宋" w:eastAsia="仿宋" w:cs="仿宋"/>
          <w:color w:val="auto"/>
        </w:rPr>
      </w:pPr>
      <w:r>
        <w:rPr>
          <w:rFonts w:hint="eastAsia" w:ascii="仿宋" w:hAnsi="仿宋" w:eastAsia="仿宋" w:cs="仿宋"/>
          <w:color w:val="auto"/>
        </w:rPr>
        <w:t>（1）交付验收主体</w:t>
      </w:r>
    </w:p>
    <w:p w14:paraId="005E4E07">
      <w:pPr>
        <w:spacing w:line="560" w:lineRule="exact"/>
        <w:ind w:firstLine="640" w:firstLineChars="200"/>
        <w:jc w:val="left"/>
        <w:rPr>
          <w:rFonts w:ascii="仿宋" w:hAnsi="仿宋" w:eastAsia="仿宋" w:cs="仿宋"/>
          <w:color w:val="auto"/>
          <w:u w:val="single"/>
        </w:rPr>
      </w:pPr>
      <w:r>
        <w:rPr>
          <w:rFonts w:hint="eastAsia" w:ascii="仿宋" w:hAnsi="仿宋" w:eastAsia="仿宋" w:cs="仿宋"/>
          <w:color w:val="auto"/>
        </w:rPr>
        <w:fldChar w:fldCharType="begin"/>
      </w:r>
      <w:r>
        <w:rPr>
          <w:rFonts w:hint="eastAsia" w:ascii="仿宋" w:hAnsi="仿宋" w:eastAsia="仿宋" w:cs="仿宋"/>
          <w:color w:val="auto"/>
        </w:rPr>
        <w:instrText xml:space="preserve"> eq \o\ac(□,</w:instrText>
      </w:r>
      <w:r>
        <w:rPr>
          <w:rFonts w:hint="eastAsia" w:ascii="仿宋" w:hAnsi="仿宋" w:eastAsia="仿宋" w:cs="仿宋"/>
          <w:color w:val="auto"/>
          <w:position w:val="2"/>
          <w:sz w:val="22"/>
        </w:rPr>
        <w:instrText xml:space="preserve">√</w:instrText>
      </w:r>
      <w:r>
        <w:rPr>
          <w:rFonts w:hint="eastAsia" w:ascii="仿宋" w:hAnsi="仿宋" w:eastAsia="仿宋" w:cs="仿宋"/>
          <w:color w:val="auto"/>
        </w:rPr>
        <w:instrText xml:space="preserve">)</w:instrText>
      </w:r>
      <w:r>
        <w:rPr>
          <w:rFonts w:hint="eastAsia" w:ascii="仿宋" w:hAnsi="仿宋" w:eastAsia="仿宋" w:cs="仿宋"/>
          <w:color w:val="auto"/>
        </w:rPr>
        <w:fldChar w:fldCharType="end"/>
      </w:r>
      <w:r>
        <w:rPr>
          <w:rFonts w:hint="eastAsia" w:ascii="仿宋" w:hAnsi="仿宋" w:eastAsia="仿宋" w:cs="仿宋"/>
          <w:color w:val="auto"/>
        </w:rPr>
        <w:t>采购人：</w:t>
      </w: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深圳市龙岗区消防救援大队</w:t>
      </w:r>
      <w:r>
        <w:rPr>
          <w:rFonts w:hint="eastAsia" w:ascii="仿宋" w:hAnsi="仿宋" w:eastAsia="仿宋" w:cs="仿宋"/>
          <w:color w:val="auto"/>
          <w:u w:val="single"/>
        </w:rPr>
        <w:t xml:space="preserve">                         </w:t>
      </w:r>
    </w:p>
    <w:p w14:paraId="505F4EE0">
      <w:pPr>
        <w:spacing w:line="560" w:lineRule="exact"/>
        <w:ind w:firstLine="640" w:firstLineChars="200"/>
        <w:jc w:val="left"/>
        <w:rPr>
          <w:rFonts w:ascii="仿宋" w:hAnsi="仿宋" w:eastAsia="仿宋" w:cs="仿宋"/>
          <w:color w:val="auto"/>
          <w:u w:val="single"/>
        </w:rPr>
      </w:pPr>
      <w:r>
        <w:rPr>
          <w:rFonts w:hint="eastAsia" w:ascii="仿宋" w:hAnsi="仿宋" w:eastAsia="仿宋" w:cs="仿宋"/>
          <w:color w:val="auto"/>
        </w:rPr>
        <w:t>□采购代理机构：</w:t>
      </w:r>
      <w:r>
        <w:rPr>
          <w:rFonts w:hint="eastAsia" w:ascii="仿宋" w:hAnsi="仿宋" w:eastAsia="仿宋" w:cs="仿宋"/>
          <w:color w:val="auto"/>
          <w:u w:val="single"/>
        </w:rPr>
        <w:t xml:space="preserve">                       </w:t>
      </w:r>
    </w:p>
    <w:p w14:paraId="6CBA66AE">
      <w:pPr>
        <w:spacing w:line="560" w:lineRule="exact"/>
        <w:ind w:firstLine="640" w:firstLineChars="200"/>
        <w:jc w:val="left"/>
        <w:rPr>
          <w:rFonts w:ascii="仿宋" w:hAnsi="仿宋" w:eastAsia="仿宋" w:cs="仿宋"/>
          <w:color w:val="auto"/>
          <w:u w:val="single"/>
        </w:rPr>
      </w:pPr>
      <w:r>
        <w:rPr>
          <w:rFonts w:hint="eastAsia" w:ascii="仿宋" w:hAnsi="仿宋" w:eastAsia="仿宋" w:cs="仿宋"/>
          <w:color w:val="auto"/>
        </w:rPr>
        <w:t>□本项目的其他供应商：</w:t>
      </w:r>
      <w:r>
        <w:rPr>
          <w:rFonts w:hint="eastAsia" w:ascii="仿宋" w:hAnsi="仿宋" w:eastAsia="仿宋" w:cs="仿宋"/>
          <w:color w:val="auto"/>
          <w:u w:val="single"/>
        </w:rPr>
        <w:t xml:space="preserve">                 </w:t>
      </w:r>
    </w:p>
    <w:p w14:paraId="43B76067">
      <w:pPr>
        <w:spacing w:line="560" w:lineRule="exact"/>
        <w:ind w:firstLine="640" w:firstLineChars="200"/>
        <w:jc w:val="left"/>
        <w:rPr>
          <w:rFonts w:ascii="仿宋" w:hAnsi="仿宋" w:eastAsia="仿宋" w:cs="仿宋"/>
          <w:color w:val="auto"/>
          <w:u w:val="single"/>
        </w:rPr>
      </w:pPr>
      <w:r>
        <w:rPr>
          <w:rFonts w:hint="eastAsia" w:ascii="仿宋" w:hAnsi="仿宋" w:eastAsia="仿宋" w:cs="仿宋"/>
          <w:color w:val="auto"/>
        </w:rPr>
        <w:t>□第三方专业机构：</w:t>
      </w:r>
      <w:r>
        <w:rPr>
          <w:rFonts w:hint="eastAsia" w:ascii="仿宋" w:hAnsi="仿宋" w:eastAsia="仿宋" w:cs="仿宋"/>
          <w:color w:val="auto"/>
          <w:u w:val="single"/>
        </w:rPr>
        <w:t xml:space="preserve">                     </w:t>
      </w:r>
    </w:p>
    <w:p w14:paraId="27054C7B">
      <w:pPr>
        <w:spacing w:line="560" w:lineRule="exact"/>
        <w:ind w:firstLine="640" w:firstLineChars="200"/>
        <w:jc w:val="left"/>
        <w:rPr>
          <w:rFonts w:ascii="仿宋" w:hAnsi="仿宋" w:eastAsia="仿宋" w:cs="仿宋"/>
          <w:color w:val="auto"/>
          <w:u w:val="single"/>
        </w:rPr>
      </w:pPr>
      <w:r>
        <w:rPr>
          <w:rFonts w:hint="eastAsia" w:ascii="仿宋" w:hAnsi="仿宋" w:eastAsia="仿宋" w:cs="仿宋"/>
          <w:color w:val="auto"/>
        </w:rPr>
        <w:t>□专家：</w:t>
      </w:r>
      <w:r>
        <w:rPr>
          <w:rFonts w:hint="eastAsia" w:ascii="仿宋" w:hAnsi="仿宋" w:eastAsia="仿宋" w:cs="仿宋"/>
          <w:color w:val="auto"/>
          <w:u w:val="single"/>
        </w:rPr>
        <w:t xml:space="preserve">                               </w:t>
      </w:r>
    </w:p>
    <w:p w14:paraId="06E05AA9">
      <w:pPr>
        <w:spacing w:line="560" w:lineRule="exact"/>
        <w:ind w:firstLine="640" w:firstLineChars="200"/>
        <w:jc w:val="left"/>
        <w:rPr>
          <w:rFonts w:ascii="仿宋" w:hAnsi="仿宋" w:eastAsia="仿宋" w:cs="仿宋"/>
          <w:color w:val="auto"/>
          <w:u w:val="single"/>
        </w:rPr>
      </w:pPr>
      <w:r>
        <w:rPr>
          <w:rFonts w:hint="eastAsia" w:ascii="仿宋" w:hAnsi="仿宋" w:eastAsia="仿宋" w:cs="仿宋"/>
          <w:color w:val="auto"/>
        </w:rPr>
        <w:t>□服务对象：</w:t>
      </w:r>
      <w:r>
        <w:rPr>
          <w:rFonts w:hint="eastAsia" w:ascii="仿宋" w:hAnsi="仿宋" w:eastAsia="仿宋" w:cs="仿宋"/>
          <w:color w:val="auto"/>
          <w:u w:val="single"/>
        </w:rPr>
        <w:t xml:space="preserve">                           </w:t>
      </w:r>
    </w:p>
    <w:p w14:paraId="27F80A07">
      <w:pPr>
        <w:spacing w:line="560" w:lineRule="exact"/>
        <w:ind w:firstLine="640" w:firstLineChars="200"/>
        <w:jc w:val="left"/>
        <w:rPr>
          <w:rFonts w:ascii="仿宋" w:hAnsi="仿宋" w:eastAsia="仿宋" w:cs="仿宋"/>
          <w:color w:val="auto"/>
          <w:u w:val="single"/>
        </w:rPr>
      </w:pPr>
      <w:r>
        <w:rPr>
          <w:rFonts w:hint="eastAsia" w:ascii="仿宋" w:hAnsi="仿宋" w:eastAsia="仿宋" w:cs="仿宋"/>
          <w:color w:val="auto"/>
        </w:rPr>
        <w:t>□其他：</w:t>
      </w:r>
      <w:r>
        <w:rPr>
          <w:rFonts w:hint="eastAsia" w:ascii="仿宋" w:hAnsi="仿宋" w:eastAsia="仿宋" w:cs="仿宋"/>
          <w:color w:val="auto"/>
          <w:u w:val="single"/>
        </w:rPr>
        <w:t xml:space="preserve">                               </w:t>
      </w:r>
    </w:p>
    <w:p w14:paraId="41BBBB91">
      <w:pPr>
        <w:spacing w:line="560" w:lineRule="exact"/>
        <w:ind w:firstLine="640" w:firstLineChars="200"/>
        <w:jc w:val="left"/>
        <w:outlineLvl w:val="3"/>
        <w:rPr>
          <w:rFonts w:ascii="仿宋" w:hAnsi="仿宋" w:eastAsia="仿宋" w:cs="仿宋"/>
          <w:color w:val="auto"/>
        </w:rPr>
      </w:pPr>
      <w:r>
        <w:rPr>
          <w:rFonts w:hint="eastAsia" w:ascii="仿宋" w:hAnsi="仿宋" w:eastAsia="仿宋" w:cs="仿宋"/>
          <w:color w:val="auto"/>
        </w:rPr>
        <w:t>（2）交付验收时间</w:t>
      </w:r>
    </w:p>
    <w:p w14:paraId="004DC166">
      <w:pPr>
        <w:spacing w:line="560" w:lineRule="exact"/>
        <w:ind w:firstLine="640" w:firstLineChars="200"/>
        <w:jc w:val="left"/>
        <w:rPr>
          <w:rFonts w:ascii="仿宋" w:hAnsi="仿宋" w:eastAsia="仿宋" w:cs="仿宋"/>
          <w:color w:val="auto"/>
          <w:u w:val="single"/>
        </w:rPr>
      </w:pPr>
      <w:r>
        <w:rPr>
          <w:rFonts w:hint="eastAsia" w:ascii="仿宋" w:hAnsi="仿宋" w:eastAsia="仿宋"/>
          <w:u w:val="single"/>
        </w:rPr>
        <w:t>合同签订之日起</w:t>
      </w:r>
      <w:r>
        <w:rPr>
          <w:rFonts w:hint="eastAsia" w:ascii="仿宋" w:hAnsi="仿宋" w:eastAsia="仿宋"/>
          <w:u w:val="single"/>
          <w:lang w:val="en-US" w:eastAsia="zh-CN"/>
        </w:rPr>
        <w:t>一年。</w:t>
      </w:r>
      <w:r>
        <w:rPr>
          <w:rFonts w:hint="eastAsia" w:ascii="仿宋" w:hAnsi="仿宋" w:eastAsia="仿宋" w:cs="仿宋"/>
          <w:color w:val="auto"/>
          <w:u w:val="single"/>
        </w:rPr>
        <w:t xml:space="preserve">                                                </w:t>
      </w:r>
    </w:p>
    <w:p w14:paraId="0C17E6B7">
      <w:pPr>
        <w:spacing w:line="560" w:lineRule="exact"/>
        <w:ind w:firstLine="640" w:firstLineChars="200"/>
        <w:jc w:val="left"/>
        <w:outlineLvl w:val="3"/>
        <w:rPr>
          <w:rFonts w:ascii="仿宋" w:hAnsi="仿宋" w:eastAsia="仿宋" w:cs="仿宋"/>
          <w:color w:val="auto"/>
        </w:rPr>
      </w:pPr>
      <w:r>
        <w:rPr>
          <w:rFonts w:hint="eastAsia" w:ascii="仿宋" w:hAnsi="仿宋" w:eastAsia="仿宋" w:cs="仿宋"/>
          <w:color w:val="auto"/>
        </w:rPr>
        <w:t>（3）交付验收方式</w:t>
      </w:r>
    </w:p>
    <w:p w14:paraId="6AB7DC45">
      <w:pPr>
        <w:pStyle w:val="14"/>
        <w:spacing w:line="540" w:lineRule="exact"/>
        <w:ind w:firstLine="640" w:firstLineChars="200"/>
        <w:jc w:val="left"/>
        <w:rPr>
          <w:rFonts w:ascii="仿宋" w:hAnsi="仿宋" w:eastAsia="仿宋" w:cs="仿宋"/>
          <w:color w:val="auto"/>
          <w:u w:val="single"/>
        </w:rPr>
      </w:pPr>
      <w:r>
        <w:rPr>
          <w:rFonts w:hint="eastAsia" w:ascii="方正仿宋_GB2312" w:hAnsi="方正仿宋_GB2312" w:eastAsia="方正仿宋_GB2312" w:cs="方正仿宋_GB2312"/>
          <w:color w:val="000000" w:themeColor="text1"/>
          <w:u w:val="single"/>
          <w14:textFill>
            <w14:solidFill>
              <w14:schemeClr w14:val="tx1"/>
            </w14:solidFill>
          </w14:textFill>
        </w:rPr>
        <w:t>软件平台上线试运行满三个月</w:t>
      </w:r>
      <w:r>
        <w:rPr>
          <w:rFonts w:hint="eastAsia" w:ascii="仿宋" w:hAnsi="仿宋" w:eastAsia="仿宋" w:cs="仿宋"/>
          <w:color w:val="auto"/>
          <w:u w:val="single"/>
        </w:rPr>
        <w:t xml:space="preserve">                                      </w:t>
      </w:r>
    </w:p>
    <w:p w14:paraId="382722CC">
      <w:pPr>
        <w:spacing w:line="560" w:lineRule="exact"/>
        <w:ind w:firstLine="640" w:firstLineChars="200"/>
        <w:jc w:val="left"/>
        <w:outlineLvl w:val="3"/>
        <w:rPr>
          <w:rFonts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highlight w:val="none"/>
        </w:rPr>
        <w:t>交付验收程序</w:t>
      </w:r>
    </w:p>
    <w:p w14:paraId="30AF9223">
      <w:pPr>
        <w:spacing w:line="560" w:lineRule="exact"/>
        <w:ind w:firstLine="640" w:firstLineChars="200"/>
        <w:jc w:val="left"/>
        <w:rPr>
          <w:rFonts w:ascii="仿宋" w:hAnsi="仿宋" w:eastAsia="仿宋" w:cs="仿宋"/>
          <w:color w:val="auto"/>
          <w:u w:val="single"/>
        </w:rPr>
      </w:pPr>
      <w:r>
        <w:rPr>
          <w:rFonts w:hint="eastAsia" w:ascii="仿宋" w:hAnsi="仿宋" w:eastAsia="仿宋" w:cs="仿宋"/>
          <w:color w:val="auto"/>
          <w:u w:val="single"/>
          <w:lang w:val="en-US" w:eastAsia="zh-CN"/>
        </w:rPr>
        <w:t>软件平台上线，试运行满三个月，期间运行正常。</w:t>
      </w:r>
      <w:r>
        <w:rPr>
          <w:rFonts w:hint="eastAsia" w:ascii="仿宋" w:hAnsi="仿宋" w:eastAsia="仿宋"/>
          <w:sz w:val="32"/>
          <w:szCs w:val="32"/>
          <w:u w:val="single"/>
        </w:rPr>
        <w:t xml:space="preserve">                                   </w:t>
      </w:r>
      <w:r>
        <w:rPr>
          <w:rFonts w:hint="eastAsia" w:ascii="仿宋" w:hAnsi="仿宋" w:eastAsia="仿宋" w:cs="仿宋"/>
          <w:color w:val="auto"/>
          <w:u w:val="single"/>
        </w:rPr>
        <w:t xml:space="preserve">                                                 </w:t>
      </w:r>
    </w:p>
    <w:p w14:paraId="441FE865">
      <w:pPr>
        <w:spacing w:line="560" w:lineRule="exact"/>
        <w:ind w:firstLine="640" w:firstLineChars="200"/>
        <w:jc w:val="left"/>
        <w:outlineLvl w:val="3"/>
        <w:rPr>
          <w:rFonts w:ascii="仿宋" w:hAnsi="仿宋" w:eastAsia="仿宋" w:cs="仿宋"/>
          <w:color w:val="auto"/>
        </w:rPr>
      </w:pPr>
      <w:r>
        <w:rPr>
          <w:rFonts w:hint="eastAsia" w:ascii="仿宋" w:hAnsi="仿宋" w:eastAsia="仿宋" w:cs="仿宋"/>
          <w:color w:val="auto"/>
        </w:rPr>
        <w:t>（5）交付验收内容</w:t>
      </w:r>
    </w:p>
    <w:p w14:paraId="34499268">
      <w:pPr>
        <w:spacing w:line="560" w:lineRule="exact"/>
        <w:ind w:firstLine="640" w:firstLineChars="200"/>
        <w:jc w:val="left"/>
        <w:rPr>
          <w:rFonts w:ascii="仿宋" w:hAnsi="仿宋" w:eastAsia="仿宋" w:cs="仿宋"/>
          <w:color w:val="auto"/>
        </w:rPr>
      </w:pPr>
      <w:r>
        <w:rPr>
          <w:rFonts w:hint="eastAsia" w:ascii="仿宋" w:hAnsi="仿宋" w:eastAsia="仿宋" w:cs="仿宋"/>
          <w:i w:val="0"/>
          <w:iCs/>
          <w:color w:val="auto"/>
          <w:u w:val="single"/>
          <w:lang w:val="en-US" w:eastAsia="zh-CN"/>
        </w:rPr>
        <w:t>软件平台上线试运行满三个月，试运行期间运行正常稳定、满足招标和合同要求，且乙方提供服务承诺函。</w:t>
      </w:r>
    </w:p>
    <w:p w14:paraId="13B9678C">
      <w:pPr>
        <w:spacing w:line="560" w:lineRule="exact"/>
        <w:ind w:firstLine="640" w:firstLineChars="200"/>
        <w:jc w:val="left"/>
        <w:outlineLvl w:val="3"/>
        <w:rPr>
          <w:rFonts w:ascii="仿宋" w:hAnsi="仿宋" w:eastAsia="仿宋" w:cs="仿宋"/>
          <w:color w:val="auto"/>
          <w:highlight w:val="none"/>
        </w:rPr>
      </w:pPr>
      <w:r>
        <w:rPr>
          <w:rFonts w:hint="eastAsia" w:ascii="仿宋" w:hAnsi="仿宋" w:eastAsia="仿宋" w:cs="仿宋"/>
          <w:color w:val="auto"/>
        </w:rPr>
        <w:t>（6）</w:t>
      </w:r>
      <w:r>
        <w:rPr>
          <w:rFonts w:hint="eastAsia" w:ascii="仿宋" w:hAnsi="仿宋" w:eastAsia="仿宋" w:cs="仿宋"/>
          <w:color w:val="auto"/>
          <w:highlight w:val="none"/>
        </w:rPr>
        <w:t>交付验收验收标准</w:t>
      </w:r>
    </w:p>
    <w:p w14:paraId="2F122427">
      <w:pPr>
        <w:spacing w:line="560" w:lineRule="exact"/>
        <w:ind w:firstLine="640" w:firstLineChars="200"/>
        <w:jc w:val="left"/>
        <w:rPr>
          <w:rFonts w:ascii="仿宋" w:hAnsi="仿宋" w:eastAsia="仿宋" w:cs="仿宋"/>
          <w:color w:val="auto"/>
          <w:u w:val="single"/>
        </w:rPr>
      </w:pPr>
      <w:r>
        <w:rPr>
          <w:rFonts w:hint="eastAsia" w:ascii="仿宋" w:hAnsi="仿宋" w:eastAsia="仿宋" w:cs="仿宋"/>
          <w:i w:val="0"/>
          <w:iCs/>
          <w:color w:val="auto"/>
          <w:u w:val="single"/>
          <w:lang w:val="en-US" w:eastAsia="zh-CN"/>
        </w:rPr>
        <w:t>软件平台上线试运行满三个月，试运行期间运行正常稳定、满足招标和合同要求，且乙方提供服务承诺函。</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xml:space="preserve">                                         </w:t>
      </w:r>
    </w:p>
    <w:p w14:paraId="1DE54E61">
      <w:pPr>
        <w:spacing w:line="560" w:lineRule="exact"/>
        <w:ind w:firstLine="640" w:firstLineChars="200"/>
        <w:jc w:val="left"/>
        <w:outlineLvl w:val="3"/>
        <w:rPr>
          <w:rFonts w:ascii="仿宋" w:hAnsi="仿宋" w:eastAsia="仿宋" w:cs="仿宋"/>
          <w:color w:val="auto"/>
        </w:rPr>
      </w:pPr>
      <w:r>
        <w:rPr>
          <w:rFonts w:hint="eastAsia" w:ascii="仿宋" w:hAnsi="仿宋" w:eastAsia="仿宋" w:cs="仿宋"/>
          <w:color w:val="auto"/>
        </w:rPr>
        <w:t>（7）交付验收其他事项</w:t>
      </w:r>
    </w:p>
    <w:p w14:paraId="1D81D106">
      <w:pPr>
        <w:spacing w:line="560" w:lineRule="exact"/>
        <w:ind w:firstLine="640" w:firstLineChars="200"/>
        <w:jc w:val="left"/>
        <w:rPr>
          <w:rFonts w:ascii="仿宋" w:hAnsi="仿宋" w:eastAsia="仿宋" w:cs="仿宋"/>
          <w:color w:val="auto"/>
          <w:u w:val="single"/>
        </w:rPr>
      </w:pPr>
      <w:r>
        <w:rPr>
          <w:rFonts w:hint="eastAsia" w:ascii="仿宋" w:hAnsi="仿宋" w:eastAsia="仿宋" w:cs="仿宋"/>
          <w:color w:val="auto"/>
          <w:u w:val="single"/>
        </w:rPr>
        <w:t xml:space="preserve"> </w:t>
      </w:r>
      <w:r>
        <w:rPr>
          <w:rFonts w:hint="eastAsia" w:ascii="仿宋" w:hAnsi="仿宋" w:eastAsia="仿宋" w:cs="仿宋"/>
          <w:color w:val="auto"/>
          <w:u w:val="single"/>
          <w:lang w:val="en-US" w:eastAsia="zh-CN"/>
        </w:rPr>
        <w:t>无。</w:t>
      </w:r>
      <w:r>
        <w:rPr>
          <w:rFonts w:hint="eastAsia" w:ascii="仿宋" w:hAnsi="仿宋" w:eastAsia="仿宋" w:cs="仿宋"/>
          <w:color w:val="auto"/>
          <w:u w:val="single"/>
        </w:rPr>
        <w:t xml:space="preserve">                                                </w:t>
      </w:r>
    </w:p>
    <w:p w14:paraId="2690821B">
      <w:pPr>
        <w:spacing w:line="560" w:lineRule="exact"/>
        <w:ind w:firstLine="640" w:firstLineChars="200"/>
        <w:jc w:val="left"/>
        <w:outlineLvl w:val="2"/>
        <w:rPr>
          <w:rFonts w:ascii="仿宋" w:hAnsi="仿宋" w:eastAsia="仿宋" w:cs="仿宋"/>
          <w:color w:val="auto"/>
        </w:rPr>
      </w:pPr>
      <w:r>
        <w:rPr>
          <w:rFonts w:hint="eastAsia" w:ascii="仿宋" w:hAnsi="仿宋" w:eastAsia="仿宋" w:cs="仿宋"/>
          <w:color w:val="auto"/>
        </w:rPr>
        <w:t>（五）风险管控措施</w:t>
      </w:r>
    </w:p>
    <w:p w14:paraId="0008F25C">
      <w:pPr>
        <w:spacing w:line="560" w:lineRule="exact"/>
        <w:ind w:firstLine="640" w:firstLineChars="200"/>
        <w:jc w:val="left"/>
        <w:rPr>
          <w:rFonts w:ascii="仿宋" w:hAnsi="仿宋" w:eastAsia="仿宋" w:cs="仿宋"/>
          <w:color w:val="auto"/>
          <w:u w:val="single"/>
        </w:rPr>
      </w:pPr>
      <w:r>
        <w:rPr>
          <w:rFonts w:hint="eastAsia" w:ascii="仿宋" w:hAnsi="仿宋" w:eastAsia="仿宋" w:cs="仿宋"/>
          <w:color w:val="auto"/>
        </w:rPr>
        <w:t>（1）国家政策变化应对措施：</w:t>
      </w:r>
      <w:r>
        <w:rPr>
          <w:rFonts w:hint="eastAsia" w:ascii="仿宋" w:hAnsi="仿宋" w:eastAsia="仿宋" w:cs="仿宋"/>
          <w:color w:val="auto"/>
          <w:u w:val="single"/>
        </w:rPr>
        <w:t xml:space="preserve">                      </w:t>
      </w:r>
    </w:p>
    <w:p w14:paraId="77A3F8A1">
      <w:pPr>
        <w:spacing w:line="560" w:lineRule="exact"/>
        <w:ind w:firstLine="640" w:firstLineChars="200"/>
        <w:jc w:val="left"/>
        <w:rPr>
          <w:rFonts w:ascii="仿宋" w:hAnsi="仿宋" w:eastAsia="仿宋" w:cs="仿宋"/>
          <w:color w:val="auto"/>
          <w:u w:val="single"/>
        </w:rPr>
      </w:pPr>
      <w:r>
        <w:rPr>
          <w:rFonts w:hint="eastAsia" w:ascii="仿宋" w:hAnsi="仿宋" w:eastAsia="仿宋" w:cs="仿宋"/>
          <w:color w:val="auto"/>
        </w:rPr>
        <w:t>（2）实施环境变化应对措施：</w:t>
      </w:r>
      <w:r>
        <w:rPr>
          <w:rFonts w:hint="eastAsia" w:ascii="仿宋" w:hAnsi="仿宋" w:eastAsia="仿宋" w:cs="仿宋"/>
          <w:color w:val="auto"/>
          <w:u w:val="single"/>
        </w:rPr>
        <w:t xml:space="preserve">                      </w:t>
      </w:r>
    </w:p>
    <w:p w14:paraId="28CE984C">
      <w:pPr>
        <w:spacing w:line="560" w:lineRule="exact"/>
        <w:ind w:firstLine="640" w:firstLineChars="200"/>
        <w:jc w:val="left"/>
        <w:rPr>
          <w:rFonts w:ascii="仿宋" w:hAnsi="仿宋" w:eastAsia="仿宋" w:cs="仿宋"/>
          <w:color w:val="auto"/>
          <w:u w:val="single"/>
        </w:rPr>
      </w:pPr>
      <w:r>
        <w:rPr>
          <w:rFonts w:hint="eastAsia" w:ascii="仿宋" w:hAnsi="仿宋" w:eastAsia="仿宋" w:cs="仿宋"/>
          <w:color w:val="auto"/>
        </w:rPr>
        <w:t>（3）重大技术变化应对措施：</w:t>
      </w:r>
      <w:r>
        <w:rPr>
          <w:rFonts w:hint="eastAsia" w:ascii="仿宋" w:hAnsi="仿宋" w:eastAsia="仿宋" w:cs="仿宋"/>
          <w:color w:val="auto"/>
          <w:u w:val="single"/>
        </w:rPr>
        <w:t xml:space="preserve">                      </w:t>
      </w:r>
    </w:p>
    <w:p w14:paraId="1A812677">
      <w:pPr>
        <w:spacing w:line="560" w:lineRule="exact"/>
        <w:ind w:firstLine="640" w:firstLineChars="200"/>
        <w:jc w:val="left"/>
        <w:rPr>
          <w:rFonts w:ascii="仿宋" w:hAnsi="仿宋" w:eastAsia="仿宋" w:cs="仿宋"/>
          <w:color w:val="auto"/>
          <w:u w:val="single"/>
        </w:rPr>
      </w:pPr>
      <w:r>
        <w:rPr>
          <w:rFonts w:hint="eastAsia" w:ascii="仿宋" w:hAnsi="仿宋" w:eastAsia="仿宋" w:cs="仿宋"/>
          <w:color w:val="auto"/>
        </w:rPr>
        <w:t>（4）预算项目调整应对措施：</w:t>
      </w:r>
      <w:r>
        <w:rPr>
          <w:rFonts w:hint="eastAsia" w:ascii="仿宋" w:hAnsi="仿宋" w:eastAsia="仿宋" w:cs="仿宋"/>
          <w:color w:val="auto"/>
          <w:u w:val="single"/>
        </w:rPr>
        <w:t xml:space="preserve">                      </w:t>
      </w:r>
    </w:p>
    <w:p w14:paraId="7FF33798">
      <w:pPr>
        <w:spacing w:line="560" w:lineRule="exact"/>
        <w:ind w:firstLine="640" w:firstLineChars="200"/>
        <w:jc w:val="left"/>
        <w:outlineLvl w:val="3"/>
        <w:rPr>
          <w:rFonts w:ascii="仿宋" w:hAnsi="仿宋" w:eastAsia="仿宋" w:cs="仿宋"/>
          <w:color w:val="auto"/>
          <w:u w:val="single"/>
        </w:rPr>
      </w:pPr>
      <w:r>
        <w:rPr>
          <w:rFonts w:hint="eastAsia" w:ascii="仿宋" w:hAnsi="仿宋" w:eastAsia="仿宋" w:cs="仿宋"/>
          <w:color w:val="auto"/>
        </w:rPr>
        <w:t>（5）因质疑投诉影响采购进度应对措施：</w:t>
      </w:r>
      <w:r>
        <w:rPr>
          <w:rFonts w:hint="eastAsia" w:ascii="仿宋" w:hAnsi="仿宋" w:eastAsia="仿宋" w:cs="仿宋"/>
          <w:color w:val="auto"/>
          <w:u w:val="single"/>
        </w:rPr>
        <w:t xml:space="preserve">           </w:t>
      </w:r>
    </w:p>
    <w:p w14:paraId="420DF194">
      <w:pPr>
        <w:spacing w:line="560" w:lineRule="exact"/>
        <w:ind w:firstLine="640" w:firstLineChars="200"/>
        <w:jc w:val="left"/>
        <w:rPr>
          <w:rFonts w:ascii="仿宋" w:hAnsi="仿宋" w:eastAsia="仿宋" w:cs="仿宋"/>
          <w:color w:val="auto"/>
          <w:u w:val="single"/>
        </w:rPr>
      </w:pPr>
      <w:r>
        <w:rPr>
          <w:rFonts w:hint="eastAsia" w:ascii="仿宋" w:hAnsi="仿宋" w:eastAsia="仿宋" w:cs="仿宋"/>
          <w:color w:val="auto"/>
        </w:rPr>
        <w:t>（6）采购失败应对措施：</w:t>
      </w:r>
      <w:r>
        <w:rPr>
          <w:rFonts w:hint="eastAsia" w:ascii="仿宋" w:hAnsi="仿宋" w:eastAsia="仿宋" w:cs="仿宋"/>
          <w:color w:val="auto"/>
          <w:u w:val="single"/>
        </w:rPr>
        <w:t xml:space="preserve">                         </w:t>
      </w:r>
    </w:p>
    <w:p w14:paraId="13309E3B">
      <w:pPr>
        <w:spacing w:line="560" w:lineRule="exact"/>
        <w:ind w:firstLine="640" w:firstLineChars="200"/>
        <w:jc w:val="left"/>
        <w:rPr>
          <w:rFonts w:ascii="仿宋" w:hAnsi="仿宋" w:eastAsia="仿宋" w:cs="仿宋"/>
          <w:color w:val="auto"/>
          <w:u w:val="single"/>
        </w:rPr>
      </w:pPr>
      <w:r>
        <w:rPr>
          <w:rFonts w:hint="eastAsia" w:ascii="仿宋" w:hAnsi="仿宋" w:eastAsia="仿宋" w:cs="仿宋"/>
          <w:color w:val="auto"/>
        </w:rPr>
        <w:t>（7）不按规定签订或者履行合同应对措施：</w:t>
      </w:r>
      <w:r>
        <w:rPr>
          <w:rFonts w:hint="eastAsia" w:ascii="仿宋" w:hAnsi="仿宋" w:eastAsia="仿宋" w:cs="仿宋"/>
          <w:color w:val="auto"/>
          <w:lang w:val="en-US" w:eastAsia="zh-CN"/>
        </w:rPr>
        <w:t xml:space="preserve">         </w:t>
      </w:r>
    </w:p>
    <w:p w14:paraId="2DB0FDEA">
      <w:pPr>
        <w:spacing w:line="560" w:lineRule="exact"/>
        <w:ind w:firstLine="640" w:firstLineChars="200"/>
        <w:jc w:val="left"/>
        <w:outlineLvl w:val="3"/>
        <w:rPr>
          <w:rFonts w:ascii="仿宋" w:hAnsi="仿宋" w:eastAsia="仿宋" w:cs="仿宋"/>
          <w:color w:val="auto"/>
          <w:u w:val="single"/>
        </w:rPr>
      </w:pPr>
      <w:r>
        <w:rPr>
          <w:rFonts w:hint="eastAsia" w:ascii="仿宋" w:hAnsi="仿宋" w:eastAsia="仿宋" w:cs="仿宋"/>
          <w:color w:val="auto"/>
        </w:rPr>
        <w:t>（8）出现损害国家利益和社会公共利益情形应对措施：</w:t>
      </w:r>
      <w:r>
        <w:rPr>
          <w:rFonts w:hint="eastAsia" w:ascii="仿宋" w:hAnsi="仿宋" w:eastAsia="仿宋" w:cs="仿宋"/>
          <w:color w:val="auto"/>
          <w:u w:val="single"/>
        </w:rPr>
        <w:t xml:space="preserve"> </w:t>
      </w:r>
    </w:p>
    <w:p w14:paraId="730C4C83">
      <w:pPr>
        <w:adjustRightInd/>
        <w:snapToGrid/>
        <w:spacing w:line="560" w:lineRule="exact"/>
        <w:ind w:firstLine="640" w:firstLineChars="200"/>
        <w:jc w:val="left"/>
        <w:rPr>
          <w:rFonts w:hint="eastAsia" w:ascii="仿宋" w:hAnsi="仿宋" w:eastAsia="仿宋" w:cs="仿宋"/>
          <w:color w:val="auto"/>
        </w:rPr>
      </w:pPr>
      <w:r>
        <w:rPr>
          <w:rFonts w:hint="eastAsia" w:ascii="仿宋" w:hAnsi="仿宋" w:eastAsia="仿宋" w:cs="仿宋"/>
          <w:color w:val="auto"/>
          <w:u w:val="single"/>
        </w:rPr>
        <w:t xml:space="preserve">                                                 </w:t>
      </w:r>
    </w:p>
    <w:p w14:paraId="45744580">
      <w:pPr>
        <w:pStyle w:val="10"/>
        <w:rPr>
          <w:rFonts w:hint="eastAsia" w:ascii="仿宋" w:hAnsi="仿宋" w:eastAsia="仿宋" w:cs="仿宋"/>
          <w:color w:val="auto"/>
        </w:rPr>
      </w:pPr>
    </w:p>
    <w:p w14:paraId="2639602E"/>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6448D3-7B3E-4705-864C-0663BD0CDDB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体">
    <w:altName w:val="宋体"/>
    <w:panose1 w:val="00000000000000000000"/>
    <w:charset w:val="86"/>
    <w:family w:val="roman"/>
    <w:pitch w:val="default"/>
    <w:sig w:usb0="00000000" w:usb1="00000000" w:usb2="00000010" w:usb3="00000000" w:csb0="00040000" w:csb1="00000000"/>
    <w:embedRegular r:id="rId2" w:fontKey="{52AF3E72-FB37-4E48-A8B7-52BE320ACDCD}"/>
  </w:font>
  <w:font w:name="长城楷体">
    <w:altName w:val="黑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embedRegular r:id="rId3" w:fontKey="{FC8F5CED-068B-472C-B453-07BD00A8E2DE}"/>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4" w:fontKey="{19E5D295-5766-4F9B-8773-56A286C3B2F0}"/>
  </w:font>
  <w:font w:name="仿宋">
    <w:panose1 w:val="02010609060101010101"/>
    <w:charset w:val="86"/>
    <w:family w:val="modern"/>
    <w:pitch w:val="default"/>
    <w:sig w:usb0="800002BF" w:usb1="38CF7CFA" w:usb2="00000016" w:usb3="00000000" w:csb0="00040001" w:csb1="00000000"/>
    <w:embedRegular r:id="rId5" w:fontKey="{EBB090C2-8361-4E0B-BB9F-A0AC1049F24D}"/>
  </w:font>
  <w:font w:name="仿宋_GB2312">
    <w:panose1 w:val="02010609030101010101"/>
    <w:charset w:val="86"/>
    <w:family w:val="modern"/>
    <w:pitch w:val="default"/>
    <w:sig w:usb0="00000001" w:usb1="080E0000" w:usb2="00000000" w:usb3="00000000" w:csb0="00040000" w:csb1="00000000"/>
    <w:embedRegular r:id="rId6" w:fontKey="{FF7D6FFD-9DD2-45F2-94E9-C49C3CB778BC}"/>
  </w:font>
  <w:font w:name="方正仿宋_GB2312">
    <w:panose1 w:val="02000000000000000000"/>
    <w:charset w:val="86"/>
    <w:family w:val="auto"/>
    <w:pitch w:val="default"/>
    <w:sig w:usb0="A00002BF" w:usb1="184F6CFA" w:usb2="00000012" w:usb3="00000000" w:csb0="00040001" w:csb1="00000000"/>
    <w:embedRegular r:id="rId7" w:fontKey="{C5C0DA0B-E394-4FAA-B415-E8C248555AD1}"/>
  </w:font>
  <w:font w:name="Wingdings 2">
    <w:panose1 w:val="05020102010507070707"/>
    <w:charset w:val="02"/>
    <w:family w:val="roman"/>
    <w:pitch w:val="default"/>
    <w:sig w:usb0="00000000" w:usb1="00000000" w:usb2="00000000" w:usb3="00000000" w:csb0="80000000" w:csb1="00000000"/>
    <w:embedRegular r:id="rId8" w:fontKey="{030F7805-E909-491A-8BFB-769502ACA5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E0E13">
    <w:pPr>
      <w:pStyle w:val="12"/>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2F5D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GCXg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FJJopVPz04/vp&#10;58Pp1zeCMwjUWj9D3L1FZOjemQ5tM5x7HEbeXeVU/IIRgR9Yx4u8oguEx0vTyXSaw8XhGzbAzx6v&#10;W+fDe2EUiUZBHeqXZGWHjQ996BASs2mzbqRMNZSatAW9ev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wYJeCwCAABXBAAADgAAAAAAAAABACAAAAAfAQAAZHJzL2Uyb0RvYy54bWxQSwUGAAAAAAYA&#10;BgBZAQAAvQUAAAAA&#10;">
              <v:fill on="f" focussize="0,0"/>
              <v:stroke on="f" weight="0.5pt"/>
              <v:imagedata o:title=""/>
              <o:lock v:ext="edit" aspectratio="f"/>
              <v:textbox inset="0mm,0mm,0mm,0mm" style="mso-fit-shape-to-text:t;">
                <w:txbxContent>
                  <w:p w14:paraId="4232F5D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A8059">
    <w:pPr>
      <w:pStyle w:val="1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CF404">
    <w:pPr>
      <w:pStyle w:val="12"/>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E9D5F">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9LWjgsAgAAVwQAAA4AAABkcnMvZTJvRG9jLnhtbK1UzY7TMBC+I/EO&#10;lu80aRGrUj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LdjSjRT6Pjpx/fT&#10;z4fTr28EZxCotX6GuHuLyNC9Mx3GZjj3OIy8u8qp+AUjAj/kPV7kFV0gPF6aTqbTHC4O37ABfvZ4&#10;3Tof3gujSDQK6tC/JCs7bHzoQ4eQmE2bdSNl6qHUpC3o1es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0taOCwCAABXBAAADgAAAAAAAAABACAAAAAfAQAAZHJzL2Uyb0RvYy54bWxQSwUGAAAAAAYA&#10;BgBZAQAAvQUAAAAA&#10;">
              <v:fill on="f" focussize="0,0"/>
              <v:stroke on="f" weight="0.5pt"/>
              <v:imagedata o:title=""/>
              <o:lock v:ext="edit" aspectratio="f"/>
              <v:textbox inset="0mm,0mm,0mm,0mm" style="mso-fit-shape-to-text:t;">
                <w:txbxContent>
                  <w:p w14:paraId="788E9D5F">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05D1A">
    <w:pPr>
      <w:pStyle w:val="12"/>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620F5">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4620F5">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1458D">
    <w:pPr>
      <w:pStyle w:val="12"/>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25FF2">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dr/g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dUK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edr/gtAgAAVwQAAA4AAAAAAAAAAQAgAAAAHwEAAGRycy9lMm9Eb2MueG1sUEsFBgAAAAAG&#10;AAYAWQEAAL4FAAAAAA==&#10;">
              <v:fill on="f" focussize="0,0"/>
              <v:stroke on="f" weight="0.5pt"/>
              <v:imagedata o:title=""/>
              <o:lock v:ext="edit" aspectratio="f"/>
              <v:textbox inset="0mm,0mm,0mm,0mm" style="mso-fit-shape-to-text:t;">
                <w:txbxContent>
                  <w:p w14:paraId="05D25FF2">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6AD5">
    <w:pPr>
      <w:pStyle w:val="12"/>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B6F9D">
                          <w:pPr>
                            <w:pStyle w:val="1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2NaI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JtX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Y2NaItAgAAVwQAAA4AAAAAAAAAAQAgAAAAHwEAAGRycy9lMm9Eb2MueG1sUEsFBgAAAAAG&#10;AAYAWQEAAL4FAAAAAA==&#10;">
              <v:fill on="f" focussize="0,0"/>
              <v:stroke on="f" weight="0.5pt"/>
              <v:imagedata o:title=""/>
              <o:lock v:ext="edit" aspectratio="f"/>
              <v:textbox inset="0mm,0mm,0mm,0mm" style="mso-fit-shape-to-text:t;">
                <w:txbxContent>
                  <w:p w14:paraId="460B6F9D">
                    <w:pPr>
                      <w:pStyle w:val="1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A5B1A"/>
    <w:multiLevelType w:val="singleLevel"/>
    <w:tmpl w:val="A29A5B1A"/>
    <w:lvl w:ilvl="0" w:tentative="0">
      <w:start w:val="2"/>
      <w:numFmt w:val="decimal"/>
      <w:suff w:val="nothing"/>
      <w:lvlText w:val="（%1）"/>
      <w:lvlJc w:val="left"/>
    </w:lvl>
  </w:abstractNum>
  <w:abstractNum w:abstractNumId="1">
    <w:nsid w:val="F081A64B"/>
    <w:multiLevelType w:val="singleLevel"/>
    <w:tmpl w:val="F081A64B"/>
    <w:lvl w:ilvl="0" w:tentative="0">
      <w:start w:val="1"/>
      <w:numFmt w:val="decimal"/>
      <w:suff w:val="nothing"/>
      <w:lvlText w:val="%1）"/>
      <w:lvlJc w:val="left"/>
    </w:lvl>
  </w:abstractNum>
  <w:abstractNum w:abstractNumId="2">
    <w:nsid w:val="FAC22B3A"/>
    <w:multiLevelType w:val="singleLevel"/>
    <w:tmpl w:val="FAC22B3A"/>
    <w:lvl w:ilvl="0" w:tentative="0">
      <w:start w:val="1"/>
      <w:numFmt w:val="bullet"/>
      <w:lvlText w:val=""/>
      <w:lvlJc w:val="left"/>
      <w:pPr>
        <w:ind w:left="42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570FF"/>
    <w:rsid w:val="002367C4"/>
    <w:rsid w:val="0320623D"/>
    <w:rsid w:val="032B6C3A"/>
    <w:rsid w:val="03495361"/>
    <w:rsid w:val="03D655FF"/>
    <w:rsid w:val="03E665AB"/>
    <w:rsid w:val="04287D60"/>
    <w:rsid w:val="06055520"/>
    <w:rsid w:val="06EC0B97"/>
    <w:rsid w:val="074D53D1"/>
    <w:rsid w:val="087E7F24"/>
    <w:rsid w:val="095E38C5"/>
    <w:rsid w:val="09C532E6"/>
    <w:rsid w:val="09C6146A"/>
    <w:rsid w:val="0A99092D"/>
    <w:rsid w:val="0AA572D2"/>
    <w:rsid w:val="0B6C1D03"/>
    <w:rsid w:val="0BF924B8"/>
    <w:rsid w:val="0C7B478E"/>
    <w:rsid w:val="0CEB5202"/>
    <w:rsid w:val="0CF33B6F"/>
    <w:rsid w:val="0DEB3892"/>
    <w:rsid w:val="0DF362B8"/>
    <w:rsid w:val="0E2D7D0A"/>
    <w:rsid w:val="0E8D3E95"/>
    <w:rsid w:val="0F242EBB"/>
    <w:rsid w:val="123258EF"/>
    <w:rsid w:val="12A416BB"/>
    <w:rsid w:val="140B464A"/>
    <w:rsid w:val="141E5640"/>
    <w:rsid w:val="142C10D4"/>
    <w:rsid w:val="148317BA"/>
    <w:rsid w:val="14C85570"/>
    <w:rsid w:val="14CD64D1"/>
    <w:rsid w:val="14FD0AB6"/>
    <w:rsid w:val="15387DA2"/>
    <w:rsid w:val="15F26BD7"/>
    <w:rsid w:val="17DF2075"/>
    <w:rsid w:val="180A4C18"/>
    <w:rsid w:val="18512847"/>
    <w:rsid w:val="18602A8A"/>
    <w:rsid w:val="19D43730"/>
    <w:rsid w:val="1A18186E"/>
    <w:rsid w:val="1A710F7F"/>
    <w:rsid w:val="1AAF2C3C"/>
    <w:rsid w:val="1AF954F6"/>
    <w:rsid w:val="1AFF2A2E"/>
    <w:rsid w:val="1B5508A0"/>
    <w:rsid w:val="1BC51582"/>
    <w:rsid w:val="1C7634C5"/>
    <w:rsid w:val="1DD94587"/>
    <w:rsid w:val="1DDE4B7D"/>
    <w:rsid w:val="1E0839A8"/>
    <w:rsid w:val="1E161E6D"/>
    <w:rsid w:val="1ED55545"/>
    <w:rsid w:val="1F4A124E"/>
    <w:rsid w:val="2010009E"/>
    <w:rsid w:val="2057199C"/>
    <w:rsid w:val="215137A3"/>
    <w:rsid w:val="22433200"/>
    <w:rsid w:val="22561A4B"/>
    <w:rsid w:val="226338A3"/>
    <w:rsid w:val="22E26EBD"/>
    <w:rsid w:val="23751ADF"/>
    <w:rsid w:val="243B67FF"/>
    <w:rsid w:val="266404E5"/>
    <w:rsid w:val="27183C9F"/>
    <w:rsid w:val="27F154AD"/>
    <w:rsid w:val="29314E59"/>
    <w:rsid w:val="296D1528"/>
    <w:rsid w:val="2BA32980"/>
    <w:rsid w:val="2BE27F2E"/>
    <w:rsid w:val="2D19172E"/>
    <w:rsid w:val="2E0C4DEE"/>
    <w:rsid w:val="2E110657"/>
    <w:rsid w:val="2E3031D3"/>
    <w:rsid w:val="2E496043"/>
    <w:rsid w:val="2EF20488"/>
    <w:rsid w:val="2F6615E8"/>
    <w:rsid w:val="2FA33530"/>
    <w:rsid w:val="2FF3270A"/>
    <w:rsid w:val="2FF66D16"/>
    <w:rsid w:val="30D51E0F"/>
    <w:rsid w:val="31012C04"/>
    <w:rsid w:val="31A812D2"/>
    <w:rsid w:val="32B83797"/>
    <w:rsid w:val="33625F9B"/>
    <w:rsid w:val="34727975"/>
    <w:rsid w:val="363B2715"/>
    <w:rsid w:val="377C49F4"/>
    <w:rsid w:val="399C171C"/>
    <w:rsid w:val="39CD103A"/>
    <w:rsid w:val="3A2E433E"/>
    <w:rsid w:val="3B435BAA"/>
    <w:rsid w:val="3C706E90"/>
    <w:rsid w:val="3CCB2319"/>
    <w:rsid w:val="3F76656C"/>
    <w:rsid w:val="3F95733A"/>
    <w:rsid w:val="3FEF364D"/>
    <w:rsid w:val="401C5365"/>
    <w:rsid w:val="41AA4F76"/>
    <w:rsid w:val="41EA3241"/>
    <w:rsid w:val="42366486"/>
    <w:rsid w:val="42416371"/>
    <w:rsid w:val="425D1C65"/>
    <w:rsid w:val="42F92E3E"/>
    <w:rsid w:val="43207F2F"/>
    <w:rsid w:val="432D09BF"/>
    <w:rsid w:val="450E547B"/>
    <w:rsid w:val="45633A36"/>
    <w:rsid w:val="46400BA9"/>
    <w:rsid w:val="49235F7F"/>
    <w:rsid w:val="493504C2"/>
    <w:rsid w:val="49A563CB"/>
    <w:rsid w:val="49B04D70"/>
    <w:rsid w:val="49B64278"/>
    <w:rsid w:val="4B23107F"/>
    <w:rsid w:val="4CD34FFD"/>
    <w:rsid w:val="4CF80F08"/>
    <w:rsid w:val="4D3B47E0"/>
    <w:rsid w:val="4D665B0F"/>
    <w:rsid w:val="4DF3347D"/>
    <w:rsid w:val="4E192EE4"/>
    <w:rsid w:val="4E2B7734"/>
    <w:rsid w:val="4EFA0F67"/>
    <w:rsid w:val="4EFC39B0"/>
    <w:rsid w:val="4F0C3035"/>
    <w:rsid w:val="4FBA4209"/>
    <w:rsid w:val="4FF2300A"/>
    <w:rsid w:val="50EF1EEC"/>
    <w:rsid w:val="512E4EF8"/>
    <w:rsid w:val="51BD4A39"/>
    <w:rsid w:val="51E26BD9"/>
    <w:rsid w:val="522A64B4"/>
    <w:rsid w:val="53D96226"/>
    <w:rsid w:val="54721636"/>
    <w:rsid w:val="54D57E36"/>
    <w:rsid w:val="551663CF"/>
    <w:rsid w:val="5526473A"/>
    <w:rsid w:val="55D10F6A"/>
    <w:rsid w:val="566D64C3"/>
    <w:rsid w:val="567777FF"/>
    <w:rsid w:val="57674114"/>
    <w:rsid w:val="58041CC2"/>
    <w:rsid w:val="583F79EB"/>
    <w:rsid w:val="589F492D"/>
    <w:rsid w:val="58B43EFA"/>
    <w:rsid w:val="59A87812"/>
    <w:rsid w:val="5B2829B8"/>
    <w:rsid w:val="5BEC0B30"/>
    <w:rsid w:val="5C763BF7"/>
    <w:rsid w:val="5C8475D1"/>
    <w:rsid w:val="5CAD7C22"/>
    <w:rsid w:val="5CC5787F"/>
    <w:rsid w:val="5D064F7B"/>
    <w:rsid w:val="5EA44A4C"/>
    <w:rsid w:val="5EA80FCC"/>
    <w:rsid w:val="5EE66E12"/>
    <w:rsid w:val="613D2F35"/>
    <w:rsid w:val="61A84853"/>
    <w:rsid w:val="627E7362"/>
    <w:rsid w:val="63E37DC4"/>
    <w:rsid w:val="64273762"/>
    <w:rsid w:val="643B19AE"/>
    <w:rsid w:val="6449399F"/>
    <w:rsid w:val="645218A5"/>
    <w:rsid w:val="64C53862"/>
    <w:rsid w:val="64CA64B7"/>
    <w:rsid w:val="659C05D1"/>
    <w:rsid w:val="65FD2C7F"/>
    <w:rsid w:val="67010561"/>
    <w:rsid w:val="6793565D"/>
    <w:rsid w:val="67D56352"/>
    <w:rsid w:val="68A13DAA"/>
    <w:rsid w:val="68EA74FF"/>
    <w:rsid w:val="69196036"/>
    <w:rsid w:val="6A1C4030"/>
    <w:rsid w:val="6A206042"/>
    <w:rsid w:val="6A2904FB"/>
    <w:rsid w:val="6AD20B92"/>
    <w:rsid w:val="6B5B4E84"/>
    <w:rsid w:val="6C922387"/>
    <w:rsid w:val="6DF130DE"/>
    <w:rsid w:val="6EC66318"/>
    <w:rsid w:val="6F286FD3"/>
    <w:rsid w:val="6F8561D3"/>
    <w:rsid w:val="700A7EA9"/>
    <w:rsid w:val="70216349"/>
    <w:rsid w:val="702F681A"/>
    <w:rsid w:val="704361C2"/>
    <w:rsid w:val="70780AE9"/>
    <w:rsid w:val="70C33D52"/>
    <w:rsid w:val="711D7CB7"/>
    <w:rsid w:val="71213793"/>
    <w:rsid w:val="714B17FA"/>
    <w:rsid w:val="716403C2"/>
    <w:rsid w:val="71EC2BDE"/>
    <w:rsid w:val="726B0346"/>
    <w:rsid w:val="731D6723"/>
    <w:rsid w:val="740D281B"/>
    <w:rsid w:val="742A7349"/>
    <w:rsid w:val="75A4312B"/>
    <w:rsid w:val="75BC42C7"/>
    <w:rsid w:val="764222BD"/>
    <w:rsid w:val="78002A93"/>
    <w:rsid w:val="786D1EFA"/>
    <w:rsid w:val="78AD0549"/>
    <w:rsid w:val="79891825"/>
    <w:rsid w:val="799721C8"/>
    <w:rsid w:val="7A796935"/>
    <w:rsid w:val="7B783090"/>
    <w:rsid w:val="7BA14395"/>
    <w:rsid w:val="7C1406B6"/>
    <w:rsid w:val="7CE04A49"/>
    <w:rsid w:val="7D1961AD"/>
    <w:rsid w:val="7D933791"/>
    <w:rsid w:val="7E46417B"/>
    <w:rsid w:val="7F105334"/>
    <w:rsid w:val="7F74591C"/>
    <w:rsid w:val="7F855D7C"/>
    <w:rsid w:val="7FC00B62"/>
    <w:rsid w:val="7FF43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体" w:cs="Times New Roman"/>
      <w:kern w:val="2"/>
      <w:sz w:val="32"/>
      <w:szCs w:val="32"/>
      <w:lang w:val="en-US" w:eastAsia="zh-CN" w:bidi="ar-SA"/>
    </w:rPr>
  </w:style>
  <w:style w:type="paragraph" w:styleId="3">
    <w:name w:val="heading 1"/>
    <w:basedOn w:val="1"/>
    <w:next w:val="1"/>
    <w:qFormat/>
    <w:uiPriority w:val="0"/>
    <w:pPr>
      <w:spacing w:before="340" w:after="330" w:line="360" w:lineRule="auto"/>
      <w:jc w:val="center"/>
      <w:outlineLvl w:val="0"/>
    </w:pPr>
    <w:rPr>
      <w:rFonts w:eastAsia="黑体"/>
      <w:kern w:val="44"/>
      <w:szCs w:val="44"/>
    </w:rPr>
  </w:style>
  <w:style w:type="paragraph" w:styleId="4">
    <w:name w:val="heading 2"/>
    <w:basedOn w:val="5"/>
    <w:next w:val="6"/>
    <w:qFormat/>
    <w:uiPriority w:val="0"/>
    <w:pPr>
      <w:adjustRightInd w:val="0"/>
      <w:jc w:val="center"/>
      <w:textAlignment w:val="baseline"/>
      <w:outlineLvl w:val="1"/>
    </w:pPr>
    <w:rPr>
      <w:sz w:val="24"/>
      <w:szCs w:val="20"/>
    </w:rPr>
  </w:style>
  <w:style w:type="paragraph" w:styleId="5">
    <w:name w:val="heading 3"/>
    <w:basedOn w:val="6"/>
    <w:next w:val="1"/>
    <w:qFormat/>
    <w:uiPriority w:val="0"/>
    <w:pPr>
      <w:spacing w:before="260" w:after="260" w:line="240" w:lineRule="auto"/>
      <w:outlineLvl w:val="2"/>
    </w:pPr>
    <w:rPr>
      <w:rFonts w:ascii="宋体" w:hAnsi="宋体" w:eastAsia="宋体"/>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overflowPunct w:val="0"/>
      <w:autoSpaceDE w:val="0"/>
      <w:autoSpaceDN w:val="0"/>
      <w:adjustRightInd w:val="0"/>
      <w:spacing w:after="180" w:line="400" w:lineRule="atLeast"/>
      <w:ind w:firstLine="420"/>
      <w:jc w:val="left"/>
      <w:textAlignment w:val="baseline"/>
    </w:pPr>
    <w:rPr>
      <w:rFonts w:ascii="长城楷体" w:eastAsia="长城楷体"/>
      <w:kern w:val="0"/>
      <w:sz w:val="28"/>
      <w:szCs w:val="20"/>
    </w:rPr>
  </w:style>
  <w:style w:type="paragraph" w:styleId="8">
    <w:name w:val="annotation text"/>
    <w:basedOn w:val="1"/>
    <w:qFormat/>
    <w:uiPriority w:val="0"/>
    <w:pPr>
      <w:jc w:val="left"/>
    </w:pPr>
  </w:style>
  <w:style w:type="paragraph" w:styleId="9">
    <w:name w:val="Body Text Indent"/>
    <w:basedOn w:val="1"/>
    <w:qFormat/>
    <w:uiPriority w:val="0"/>
    <w:pPr>
      <w:spacing w:line="360" w:lineRule="auto"/>
      <w:ind w:firstLine="420" w:firstLineChars="200"/>
    </w:pPr>
  </w:style>
  <w:style w:type="paragraph" w:styleId="10">
    <w:name w:val="Plain Text"/>
    <w:basedOn w:val="1"/>
    <w:qFormat/>
    <w:uiPriority w:val="0"/>
    <w:rPr>
      <w:rFonts w:ascii="宋体" w:hAnsi="Courier New"/>
    </w:rPr>
  </w:style>
  <w:style w:type="paragraph" w:styleId="11">
    <w:name w:val="Balloon Text"/>
    <w:basedOn w:val="1"/>
    <w:unhideWhenUsed/>
    <w:qFormat/>
    <w:uiPriority w:val="99"/>
    <w:rPr>
      <w:rFonts w:eastAsia="宋体"/>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toc 2"/>
    <w:basedOn w:val="1"/>
    <w:next w:val="1"/>
    <w:qFormat/>
    <w:uiPriority w:val="0"/>
    <w:pPr>
      <w:widowControl/>
      <w:tabs>
        <w:tab w:val="left" w:pos="835"/>
        <w:tab w:val="right" w:leader="dot" w:pos="9174"/>
      </w:tabs>
      <w:spacing w:after="100" w:line="276" w:lineRule="auto"/>
      <w:ind w:left="220"/>
      <w:jc w:val="left"/>
    </w:pPr>
    <w:rPr>
      <w:rFonts w:ascii="Calibri" w:hAnsi="Calibri" w:eastAsia="宋体" w:cs="Times New Roman"/>
      <w:kern w:val="0"/>
      <w:sz w:val="22"/>
      <w:szCs w:val="22"/>
    </w:rPr>
  </w:style>
  <w:style w:type="paragraph" w:styleId="14">
    <w:name w:val="Body Text 2"/>
    <w:basedOn w:val="1"/>
    <w:qFormat/>
    <w:uiPriority w:val="0"/>
    <w:pPr>
      <w:spacing w:line="360" w:lineRule="auto"/>
    </w:pPr>
  </w:style>
  <w:style w:type="paragraph" w:styleId="15">
    <w:name w:val="Normal (Web)"/>
    <w:basedOn w:val="1"/>
    <w:qFormat/>
    <w:uiPriority w:val="0"/>
    <w:pPr>
      <w:spacing w:beforeAutospacing="1" w:afterAutospacing="1"/>
      <w:jc w:val="left"/>
    </w:pPr>
    <w:rPr>
      <w:kern w:val="0"/>
      <w:sz w:val="24"/>
    </w:rPr>
  </w:style>
  <w:style w:type="paragraph" w:styleId="16">
    <w:name w:val="Title"/>
    <w:basedOn w:val="1"/>
    <w:qFormat/>
    <w:uiPriority w:val="0"/>
    <w:pPr>
      <w:spacing w:before="1"/>
      <w:ind w:left="1329" w:right="1471"/>
      <w:jc w:val="center"/>
    </w:pPr>
    <w:rPr>
      <w:rFonts w:ascii="楷体" w:hAnsi="楷体" w:eastAsia="楷体" w:cs="楷体"/>
      <w:b/>
      <w:bCs/>
      <w:sz w:val="70"/>
      <w:szCs w:val="70"/>
    </w:rPr>
  </w:style>
  <w:style w:type="paragraph" w:styleId="17">
    <w:name w:val="Body Text First Indent 2"/>
    <w:basedOn w:val="9"/>
    <w:next w:val="1"/>
    <w:qFormat/>
    <w:uiPriority w:val="0"/>
    <w:rPr>
      <w:rFonts w:ascii="Calibri" w:hAnsi="Calibri" w:eastAsia="宋体"/>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qFormat/>
    <w:uiPriority w:val="99"/>
    <w:rPr>
      <w:sz w:val="21"/>
      <w:szCs w:val="21"/>
    </w:rPr>
  </w:style>
  <w:style w:type="paragraph" w:customStyle="1" w:styleId="22">
    <w:name w:val="style4"/>
    <w:basedOn w:val="1"/>
    <w:next w:val="23"/>
    <w:qFormat/>
    <w:uiPriority w:val="0"/>
    <w:pPr>
      <w:widowControl/>
      <w:spacing w:before="280" w:after="280"/>
    </w:pPr>
    <w:rPr>
      <w:rFonts w:ascii="宋体"/>
      <w:sz w:val="18"/>
    </w:rPr>
  </w:style>
  <w:style w:type="paragraph" w:customStyle="1" w:styleId="23">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4">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25">
    <w:name w:val="列出段落1"/>
    <w:basedOn w:val="1"/>
    <w:qFormat/>
    <w:uiPriority w:val="34"/>
    <w:pPr>
      <w:ind w:firstLine="420" w:firstLineChars="200"/>
    </w:pPr>
  </w:style>
  <w:style w:type="paragraph" w:customStyle="1" w:styleId="26">
    <w:name w:val="彩色列表 - 强调文字颜色 11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11323</Words>
  <Characters>11812</Characters>
  <Lines>0</Lines>
  <Paragraphs>0</Paragraphs>
  <TotalTime>53</TotalTime>
  <ScaleCrop>false</ScaleCrop>
  <LinksUpToDate>false</LinksUpToDate>
  <CharactersWithSpaces>12358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2025-03-28T09:45:00Z</dcterms:created>
  <dc:creator>Administrator</dc:creator>
  <cp:lastModifiedBy>陌上花</cp:lastModifiedBy>
  <cp:lastPrinted>2025-04-15T08:35:00Z</cp:lastPrinted>
  <dcterms:modified xsi:type="dcterms:W3CDTF">2025-12-17T09:33:13Z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eyJoZGlkIjoiMTBjNmE1NDI5MjBjM2IxYTc0MTM1YjNmMWY0YTg3ZDkiLCJ1c2VySWQiOiIzMjU1NTMwNDMifQ==</vt:lpwstr>
  </property>
  <property fmtid="{D5CDD505-2E9C-101B-9397-08002B2CF9AE}" pid="4" name="ICV">
    <vt:lpwstr>36EF15AA63A04767B6295596426127A2_13</vt:lpwstr>
  </property>
</Properties>
</file>