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80B64">
      <w:pPr>
        <w:spacing w:line="360" w:lineRule="auto"/>
        <w:jc w:val="left"/>
        <w:rPr>
          <w:b/>
          <w:sz w:val="24"/>
        </w:rPr>
      </w:pPr>
      <w:r>
        <w:rPr>
          <w:rFonts w:hint="eastAsia"/>
          <w:b/>
          <w:sz w:val="24"/>
        </w:rPr>
        <w:t>附件1</w:t>
      </w:r>
    </w:p>
    <w:p w14:paraId="30A9D2D8">
      <w:pPr>
        <w:jc w:val="center"/>
        <w:rPr>
          <w:b/>
          <w:sz w:val="32"/>
        </w:rPr>
      </w:pPr>
      <w:r>
        <w:rPr>
          <w:rFonts w:hint="eastAsia"/>
          <w:b/>
          <w:sz w:val="32"/>
        </w:rPr>
        <w:t>深圳市龙岗区应急救援设备采购项目</w:t>
      </w:r>
    </w:p>
    <w:p w14:paraId="7E0A884C">
      <w:pPr>
        <w:jc w:val="center"/>
        <w:rPr>
          <w:b/>
          <w:sz w:val="32"/>
        </w:rPr>
      </w:pPr>
      <w:r>
        <w:rPr>
          <w:rFonts w:hint="eastAsia"/>
          <w:b/>
          <w:sz w:val="32"/>
        </w:rPr>
        <w:t>采购</w:t>
      </w:r>
      <w:r>
        <w:rPr>
          <w:b/>
          <w:sz w:val="32"/>
        </w:rPr>
        <w:t>需求书</w:t>
      </w:r>
      <w:r>
        <w:rPr>
          <w:rFonts w:hint="eastAsia"/>
          <w:b/>
          <w:sz w:val="32"/>
        </w:rPr>
        <w:t>（征求意见稿）</w:t>
      </w:r>
    </w:p>
    <w:p w14:paraId="751BD806">
      <w:pPr>
        <w:jc w:val="center"/>
        <w:rPr>
          <w:b/>
          <w:sz w:val="24"/>
        </w:rPr>
      </w:pPr>
    </w:p>
    <w:p w14:paraId="483B474E">
      <w:pPr>
        <w:spacing w:line="440" w:lineRule="exact"/>
        <w:ind w:firstLine="482" w:firstLineChars="200"/>
        <w:rPr>
          <w:b/>
          <w:sz w:val="24"/>
        </w:rPr>
      </w:pPr>
      <w:r>
        <w:rPr>
          <w:b/>
          <w:sz w:val="24"/>
        </w:rPr>
        <w:t>一、招标要求</w:t>
      </w:r>
    </w:p>
    <w:p w14:paraId="252B4F2F">
      <w:pPr>
        <w:spacing w:line="440" w:lineRule="exact"/>
        <w:ind w:firstLine="480" w:firstLineChars="200"/>
        <w:rPr>
          <w:sz w:val="24"/>
        </w:rPr>
      </w:pPr>
      <w:r>
        <w:rPr>
          <w:rFonts w:hint="eastAsia"/>
          <w:sz w:val="24"/>
        </w:rPr>
        <w:t>拟选取一家供应商提供货物需求。</w:t>
      </w:r>
    </w:p>
    <w:p w14:paraId="09897B5F">
      <w:pPr>
        <w:spacing w:line="440" w:lineRule="exact"/>
        <w:ind w:firstLine="482" w:firstLineChars="200"/>
        <w:rPr>
          <w:sz w:val="24"/>
        </w:rPr>
      </w:pPr>
      <w:r>
        <w:rPr>
          <w:rFonts w:hint="eastAsia"/>
          <w:b/>
          <w:bCs/>
          <w:sz w:val="24"/>
        </w:rPr>
        <w:t>二、投标人的资格要求</w:t>
      </w:r>
    </w:p>
    <w:p w14:paraId="7A4E8EF3">
      <w:pPr>
        <w:spacing w:line="440" w:lineRule="exact"/>
        <w:ind w:firstLine="480" w:firstLineChars="200"/>
        <w:rPr>
          <w:sz w:val="24"/>
          <w:lang w:val="zh-CN"/>
        </w:rPr>
      </w:pPr>
      <w:r>
        <w:rPr>
          <w:rFonts w:hint="eastAsia"/>
          <w:sz w:val="24"/>
          <w:lang w:val="zh-CN"/>
        </w:rPr>
        <w:t>1、满足《中华人民共和国政府采购法》第二十二条规定。</w:t>
      </w:r>
    </w:p>
    <w:p w14:paraId="32CEFD42">
      <w:pPr>
        <w:spacing w:line="440" w:lineRule="exact"/>
        <w:ind w:firstLine="480" w:firstLineChars="200"/>
        <w:rPr>
          <w:sz w:val="24"/>
          <w:lang w:val="zh-CN"/>
        </w:rPr>
      </w:pPr>
      <w:r>
        <w:rPr>
          <w:rFonts w:hint="eastAsia"/>
          <w:sz w:val="24"/>
          <w:lang w:val="zh-CN"/>
        </w:rPr>
        <w:t>2、落实政府采购政策需满足的资格要求：</w:t>
      </w:r>
    </w:p>
    <w:p w14:paraId="49D6A5EB">
      <w:pPr>
        <w:spacing w:line="440" w:lineRule="exact"/>
        <w:ind w:firstLine="480" w:firstLineChars="200"/>
        <w:rPr>
          <w:sz w:val="24"/>
        </w:rPr>
      </w:pPr>
      <w:r>
        <w:rPr>
          <w:rFonts w:hint="eastAsia"/>
          <w:sz w:val="24"/>
        </w:rPr>
        <w:t>（1）本项目非专门面向中小微企业采购。</w:t>
      </w:r>
    </w:p>
    <w:p w14:paraId="4AA7F326">
      <w:pPr>
        <w:spacing w:line="440" w:lineRule="exact"/>
        <w:ind w:firstLine="480" w:firstLineChars="200"/>
        <w:rPr>
          <w:sz w:val="24"/>
          <w:lang w:val="zh-CN"/>
        </w:rPr>
      </w:pPr>
      <w:r>
        <w:rPr>
          <w:rFonts w:hint="eastAsia"/>
          <w:sz w:val="24"/>
          <w:lang w:val="zh-CN"/>
        </w:rPr>
        <w:t>（</w:t>
      </w:r>
      <w:r>
        <w:rPr>
          <w:rFonts w:hint="eastAsia"/>
          <w:sz w:val="24"/>
        </w:rPr>
        <w:t>2</w:t>
      </w:r>
      <w:r>
        <w:rPr>
          <w:rFonts w:hint="eastAsia"/>
          <w:sz w:val="24"/>
          <w:lang w:val="zh-CN"/>
        </w:rPr>
        <w:t>）本项目对应的中小企业划分标准所属行业：工业。</w:t>
      </w:r>
    </w:p>
    <w:p w14:paraId="2827DD49">
      <w:pPr>
        <w:spacing w:line="440" w:lineRule="exact"/>
        <w:ind w:firstLine="480" w:firstLineChars="200"/>
        <w:rPr>
          <w:sz w:val="24"/>
          <w:lang w:val="zh-CN"/>
        </w:rPr>
      </w:pPr>
      <w:r>
        <w:rPr>
          <w:rFonts w:hint="eastAsia"/>
          <w:sz w:val="24"/>
          <w:lang w:val="zh-CN"/>
        </w:rPr>
        <w:t>3、本项目资格要求：</w:t>
      </w:r>
    </w:p>
    <w:p w14:paraId="1C610340">
      <w:pPr>
        <w:spacing w:line="440" w:lineRule="exact"/>
        <w:ind w:firstLine="480" w:firstLineChars="200"/>
        <w:rPr>
          <w:sz w:val="24"/>
          <w:lang w:val="zh-CN"/>
        </w:rPr>
      </w:pPr>
      <w:r>
        <w:rPr>
          <w:rFonts w:hint="eastAsia"/>
          <w:sz w:val="24"/>
          <w:lang w:val="zh-CN"/>
        </w:rPr>
        <w:t>（</w:t>
      </w:r>
      <w:r>
        <w:rPr>
          <w:rFonts w:hint="eastAsia"/>
          <w:sz w:val="24"/>
        </w:rPr>
        <w:t>1</w:t>
      </w:r>
      <w:r>
        <w:rPr>
          <w:rFonts w:hint="eastAsia"/>
          <w:sz w:val="24"/>
          <w:lang w:val="zh-CN"/>
        </w:rPr>
        <w:t>）投标人必须是具有独立法人资格或为具有独立承担民事责任能力的其它组织（提供营业执照或事业单位法人证书或其他证明材料复印件加盖公章，原件备查）。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0C67DE6">
      <w:pPr>
        <w:spacing w:line="440" w:lineRule="exact"/>
        <w:ind w:firstLine="480" w:firstLineChars="200"/>
        <w:rPr>
          <w:sz w:val="24"/>
          <w:lang w:val="zh-CN"/>
        </w:rPr>
      </w:pPr>
      <w:r>
        <w:rPr>
          <w:rFonts w:hint="eastAsia"/>
          <w:sz w:val="24"/>
          <w:lang w:val="zh-CN"/>
        </w:rPr>
        <w:t>（</w:t>
      </w:r>
      <w:r>
        <w:rPr>
          <w:rFonts w:hint="eastAsia"/>
          <w:sz w:val="24"/>
        </w:rPr>
        <w:t>2</w:t>
      </w:r>
      <w:r>
        <w:rPr>
          <w:rFonts w:hint="eastAsia"/>
          <w:sz w:val="24"/>
          <w:lang w:val="zh-CN"/>
        </w:rPr>
        <w:t>）未被列入失信被执行人、重大税收违法失信主体、政府采购严重违法失信行为记录名单。</w:t>
      </w:r>
    </w:p>
    <w:p w14:paraId="69D8BD9D">
      <w:pPr>
        <w:spacing w:line="440" w:lineRule="exact"/>
        <w:ind w:firstLine="480" w:firstLineChars="200"/>
        <w:rPr>
          <w:sz w:val="24"/>
          <w:lang w:val="zh-CN"/>
        </w:rPr>
      </w:pPr>
      <w:r>
        <w:rPr>
          <w:rFonts w:hint="eastAsia"/>
          <w:sz w:val="24"/>
          <w:lang w:val="zh-CN"/>
        </w:rPr>
        <w:t>注：通过“信用中国”中“</w:t>
      </w:r>
      <w:r>
        <w:rPr>
          <w:rFonts w:hint="eastAsia"/>
          <w:sz w:val="24"/>
        </w:rPr>
        <w:t>信用公示</w:t>
      </w:r>
      <w:r>
        <w:rPr>
          <w:rFonts w:hint="eastAsia"/>
          <w:sz w:val="24"/>
          <w:lang w:val="zh-CN"/>
        </w:rPr>
        <w:t>”栏的“重大税收违法失信主体”“失信被执行人”、“中国政府采购网”中的“政府采购严重违法失信行为记录名单”查询供应商的信用信息。</w:t>
      </w:r>
    </w:p>
    <w:p w14:paraId="3AEF20CE">
      <w:pPr>
        <w:spacing w:line="440" w:lineRule="exact"/>
        <w:ind w:firstLine="480" w:firstLineChars="200"/>
        <w:rPr>
          <w:sz w:val="24"/>
        </w:rPr>
      </w:pPr>
      <w:r>
        <w:rPr>
          <w:rFonts w:hint="eastAsia"/>
          <w:sz w:val="24"/>
          <w:lang w:val="zh-CN"/>
        </w:rPr>
        <w:t>（</w:t>
      </w:r>
      <w:r>
        <w:rPr>
          <w:rFonts w:hint="eastAsia"/>
          <w:sz w:val="24"/>
        </w:rPr>
        <w:t>3</w:t>
      </w:r>
      <w:r>
        <w:rPr>
          <w:rFonts w:hint="eastAsia"/>
          <w:sz w:val="24"/>
          <w:lang w:val="zh-CN"/>
        </w:rPr>
        <w:t>）为本项目提供整体设计、规范编制或者项目管理、监理、检测等服务的供应商，不得再参与本项目投标。</w:t>
      </w:r>
    </w:p>
    <w:p w14:paraId="02CA407A">
      <w:pPr>
        <w:spacing w:line="440" w:lineRule="exact"/>
        <w:ind w:firstLine="480" w:firstLineChars="200"/>
        <w:rPr>
          <w:sz w:val="24"/>
        </w:rPr>
      </w:pPr>
      <w:r>
        <w:rPr>
          <w:rFonts w:hint="eastAsia"/>
          <w:sz w:val="24"/>
        </w:rPr>
        <w:t>（4）本项目不接受联合体投标，不接受投标人选用进口产品参与投标，不允许转包、分包。</w:t>
      </w:r>
    </w:p>
    <w:p w14:paraId="2418404B">
      <w:pPr>
        <w:spacing w:line="440" w:lineRule="exact"/>
        <w:ind w:left="420" w:leftChars="200"/>
        <w:rPr>
          <w:b/>
          <w:bCs/>
          <w:sz w:val="24"/>
        </w:rPr>
      </w:pPr>
      <w:r>
        <w:rPr>
          <w:rFonts w:hint="eastAsia"/>
          <w:b/>
          <w:bCs/>
          <w:sz w:val="24"/>
        </w:rPr>
        <w:t>三、货物清单</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832"/>
        <w:gridCol w:w="810"/>
        <w:gridCol w:w="1137"/>
        <w:gridCol w:w="1137"/>
        <w:gridCol w:w="2964"/>
      </w:tblGrid>
      <w:tr w14:paraId="052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51674B06">
            <w:pPr>
              <w:spacing w:line="360" w:lineRule="auto"/>
              <w:jc w:val="center"/>
              <w:rPr>
                <w:rFonts w:hint="eastAsia" w:ascii="宋体" w:hAnsi="宋体" w:eastAsia="宋体"/>
                <w:szCs w:val="21"/>
              </w:rPr>
            </w:pPr>
            <w:r>
              <w:rPr>
                <w:rFonts w:hint="eastAsia" w:ascii="宋体" w:hAnsi="宋体" w:eastAsia="宋体"/>
                <w:szCs w:val="21"/>
              </w:rPr>
              <w:t>序号</w:t>
            </w:r>
          </w:p>
        </w:tc>
        <w:tc>
          <w:tcPr>
            <w:tcW w:w="1075" w:type="pct"/>
            <w:vAlign w:val="center"/>
          </w:tcPr>
          <w:p w14:paraId="02B6047E">
            <w:pPr>
              <w:spacing w:line="360" w:lineRule="auto"/>
              <w:jc w:val="center"/>
              <w:rPr>
                <w:rFonts w:hint="eastAsia" w:ascii="宋体" w:hAnsi="宋体" w:eastAsia="宋体"/>
                <w:szCs w:val="21"/>
              </w:rPr>
            </w:pPr>
            <w:r>
              <w:rPr>
                <w:rFonts w:hint="eastAsia" w:ascii="宋体" w:hAnsi="宋体" w:eastAsia="宋体"/>
                <w:szCs w:val="21"/>
              </w:rPr>
              <w:t>装备名称</w:t>
            </w:r>
          </w:p>
        </w:tc>
        <w:tc>
          <w:tcPr>
            <w:tcW w:w="475" w:type="pct"/>
            <w:vAlign w:val="center"/>
          </w:tcPr>
          <w:p w14:paraId="1BD70B0D">
            <w:pPr>
              <w:spacing w:line="360" w:lineRule="auto"/>
              <w:jc w:val="center"/>
              <w:rPr>
                <w:rFonts w:hint="eastAsia" w:ascii="宋体" w:hAnsi="宋体" w:eastAsia="宋体"/>
                <w:szCs w:val="21"/>
              </w:rPr>
            </w:pPr>
            <w:r>
              <w:rPr>
                <w:rFonts w:hint="eastAsia" w:ascii="宋体" w:hAnsi="宋体" w:eastAsia="宋体"/>
                <w:szCs w:val="21"/>
              </w:rPr>
              <w:t>数量</w:t>
            </w:r>
          </w:p>
        </w:tc>
        <w:tc>
          <w:tcPr>
            <w:tcW w:w="667" w:type="pct"/>
            <w:vAlign w:val="center"/>
          </w:tcPr>
          <w:p w14:paraId="23CFAAD3">
            <w:pPr>
              <w:jc w:val="center"/>
              <w:rPr>
                <w:rFonts w:hint="eastAsia" w:ascii="宋体" w:hAnsi="宋体" w:eastAsia="宋体"/>
                <w:szCs w:val="21"/>
              </w:rPr>
            </w:pPr>
            <w:r>
              <w:rPr>
                <w:rFonts w:hint="eastAsia" w:ascii="宋体" w:hAnsi="宋体" w:eastAsia="宋体"/>
                <w:szCs w:val="21"/>
              </w:rPr>
              <w:t>单位</w:t>
            </w:r>
          </w:p>
        </w:tc>
        <w:tc>
          <w:tcPr>
            <w:tcW w:w="667" w:type="pct"/>
            <w:vAlign w:val="center"/>
          </w:tcPr>
          <w:p w14:paraId="70D91480">
            <w:pPr>
              <w:jc w:val="center"/>
              <w:rPr>
                <w:rFonts w:hint="eastAsia" w:ascii="宋体" w:hAnsi="宋体" w:eastAsia="宋体"/>
                <w:szCs w:val="21"/>
              </w:rPr>
            </w:pPr>
            <w:r>
              <w:rPr>
                <w:rFonts w:hint="eastAsia" w:ascii="宋体" w:hAnsi="宋体" w:eastAsia="宋体"/>
                <w:szCs w:val="21"/>
              </w:rPr>
              <w:t>预算单价（元）</w:t>
            </w:r>
          </w:p>
        </w:tc>
        <w:tc>
          <w:tcPr>
            <w:tcW w:w="1739" w:type="pct"/>
            <w:vAlign w:val="center"/>
          </w:tcPr>
          <w:p w14:paraId="52F46703">
            <w:pPr>
              <w:spacing w:line="360" w:lineRule="auto"/>
              <w:jc w:val="center"/>
              <w:rPr>
                <w:rFonts w:hint="eastAsia" w:ascii="宋体" w:hAnsi="宋体" w:eastAsia="宋体"/>
                <w:szCs w:val="21"/>
              </w:rPr>
            </w:pPr>
            <w:r>
              <w:rPr>
                <w:rFonts w:hint="eastAsia" w:ascii="宋体" w:hAnsi="宋体" w:eastAsia="宋体"/>
                <w:szCs w:val="21"/>
              </w:rPr>
              <w:t>参考图片</w:t>
            </w:r>
          </w:p>
        </w:tc>
      </w:tr>
      <w:tr w14:paraId="7996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55D7D921">
            <w:pPr>
              <w:spacing w:line="360" w:lineRule="auto"/>
              <w:jc w:val="center"/>
              <w:rPr>
                <w:rFonts w:hint="eastAsia" w:ascii="宋体" w:hAnsi="宋体" w:eastAsia="宋体"/>
                <w:szCs w:val="21"/>
              </w:rPr>
            </w:pPr>
            <w:bookmarkStart w:id="0" w:name="_Hlk202514684"/>
            <w:r>
              <w:rPr>
                <w:rFonts w:hint="eastAsia" w:ascii="宋体" w:hAnsi="宋体" w:eastAsia="宋体"/>
                <w:szCs w:val="21"/>
              </w:rPr>
              <w:t>1</w:t>
            </w:r>
          </w:p>
        </w:tc>
        <w:tc>
          <w:tcPr>
            <w:tcW w:w="1075" w:type="pct"/>
            <w:vAlign w:val="center"/>
          </w:tcPr>
          <w:p w14:paraId="54B1A360">
            <w:pPr>
              <w:spacing w:line="360" w:lineRule="auto"/>
              <w:jc w:val="center"/>
              <w:rPr>
                <w:rFonts w:hint="eastAsia" w:ascii="宋体" w:hAnsi="宋体" w:eastAsia="宋体"/>
                <w:szCs w:val="21"/>
              </w:rPr>
            </w:pPr>
            <w:bookmarkStart w:id="1" w:name="OLE_LINK6"/>
            <w:r>
              <w:rPr>
                <w:rFonts w:hint="eastAsia" w:ascii="宋体" w:hAnsi="宋体" w:eastAsia="宋体"/>
                <w:szCs w:val="21"/>
              </w:rPr>
              <w:t>高性能橡皮艇(不含船外机)</w:t>
            </w:r>
            <w:bookmarkEnd w:id="1"/>
          </w:p>
        </w:tc>
        <w:tc>
          <w:tcPr>
            <w:tcW w:w="475" w:type="pct"/>
            <w:vAlign w:val="center"/>
          </w:tcPr>
          <w:p w14:paraId="3DD5724A">
            <w:pPr>
              <w:spacing w:line="360" w:lineRule="auto"/>
              <w:jc w:val="center"/>
              <w:rPr>
                <w:rFonts w:hint="eastAsia" w:ascii="宋体" w:hAnsi="宋体" w:eastAsia="宋体"/>
                <w:szCs w:val="21"/>
              </w:rPr>
            </w:pPr>
            <w:r>
              <w:rPr>
                <w:rFonts w:hint="eastAsia" w:ascii="宋体" w:hAnsi="宋体" w:eastAsia="宋体"/>
                <w:szCs w:val="21"/>
              </w:rPr>
              <w:t>40</w:t>
            </w:r>
          </w:p>
        </w:tc>
        <w:tc>
          <w:tcPr>
            <w:tcW w:w="667" w:type="pct"/>
            <w:vAlign w:val="center"/>
          </w:tcPr>
          <w:p w14:paraId="408E679C">
            <w:pPr>
              <w:spacing w:line="360" w:lineRule="auto"/>
              <w:jc w:val="center"/>
              <w:rPr>
                <w:rFonts w:hint="eastAsia" w:ascii="宋体" w:hAnsi="宋体" w:eastAsia="宋体"/>
                <w:szCs w:val="21"/>
              </w:rPr>
            </w:pPr>
            <w:r>
              <w:rPr>
                <w:rFonts w:hint="eastAsia" w:ascii="宋体" w:hAnsi="宋体" w:eastAsia="宋体"/>
                <w:szCs w:val="21"/>
              </w:rPr>
              <w:t>艘</w:t>
            </w:r>
          </w:p>
        </w:tc>
        <w:tc>
          <w:tcPr>
            <w:tcW w:w="667" w:type="pct"/>
            <w:vAlign w:val="center"/>
          </w:tcPr>
          <w:p w14:paraId="3229A6A3">
            <w:pPr>
              <w:spacing w:line="360" w:lineRule="auto"/>
              <w:jc w:val="center"/>
              <w:rPr>
                <w:rFonts w:hint="eastAsia" w:ascii="宋体" w:hAnsi="宋体" w:eastAsia="宋体"/>
                <w:szCs w:val="21"/>
              </w:rPr>
            </w:pPr>
            <w:r>
              <w:rPr>
                <w:rFonts w:ascii="宋体" w:hAnsi="宋体" w:eastAsia="宋体"/>
                <w:szCs w:val="21"/>
              </w:rPr>
              <w:t>23000</w:t>
            </w:r>
          </w:p>
        </w:tc>
        <w:tc>
          <w:tcPr>
            <w:tcW w:w="1739" w:type="pct"/>
            <w:vAlign w:val="center"/>
          </w:tcPr>
          <w:p w14:paraId="02EA8253">
            <w:pPr>
              <w:spacing w:line="360" w:lineRule="auto"/>
              <w:jc w:val="center"/>
              <w:rPr>
                <w:rFonts w:hint="eastAsia" w:ascii="宋体" w:hAnsi="宋体" w:eastAsia="宋体"/>
                <w:szCs w:val="21"/>
              </w:rPr>
            </w:pPr>
            <w:r>
              <w:rPr>
                <w:rFonts w:ascii="宋体" w:hAnsi="宋体" w:eastAsia="宋体"/>
                <w:szCs w:val="21"/>
              </w:rPr>
              <w:drawing>
                <wp:inline distT="0" distB="0" distL="0" distR="0">
                  <wp:extent cx="1384935" cy="1039495"/>
                  <wp:effectExtent l="0" t="0" r="5715" b="8255"/>
                  <wp:docPr id="17806208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2082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96766" cy="1047995"/>
                          </a:xfrm>
                          <a:prstGeom prst="rect">
                            <a:avLst/>
                          </a:prstGeom>
                          <a:noFill/>
                          <a:ln>
                            <a:noFill/>
                          </a:ln>
                        </pic:spPr>
                      </pic:pic>
                    </a:graphicData>
                  </a:graphic>
                </wp:inline>
              </w:drawing>
            </w:r>
          </w:p>
        </w:tc>
      </w:tr>
      <w:tr w14:paraId="3D1E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1ABD8235">
            <w:pPr>
              <w:spacing w:line="360" w:lineRule="auto"/>
              <w:jc w:val="center"/>
              <w:rPr>
                <w:rFonts w:hint="eastAsia" w:ascii="宋体" w:hAnsi="宋体" w:eastAsia="宋体"/>
                <w:szCs w:val="21"/>
              </w:rPr>
            </w:pPr>
            <w:r>
              <w:rPr>
                <w:rFonts w:hint="eastAsia" w:ascii="宋体" w:hAnsi="宋体" w:eastAsia="宋体"/>
                <w:szCs w:val="21"/>
              </w:rPr>
              <w:t>2</w:t>
            </w:r>
          </w:p>
        </w:tc>
        <w:tc>
          <w:tcPr>
            <w:tcW w:w="1075" w:type="pct"/>
            <w:vAlign w:val="center"/>
          </w:tcPr>
          <w:p w14:paraId="7338D92F">
            <w:pPr>
              <w:spacing w:line="360" w:lineRule="auto"/>
              <w:jc w:val="center"/>
              <w:rPr>
                <w:rFonts w:hint="eastAsia" w:ascii="宋体" w:hAnsi="宋体" w:eastAsia="宋体"/>
                <w:szCs w:val="21"/>
              </w:rPr>
            </w:pPr>
            <w:r>
              <w:rPr>
                <w:rFonts w:hint="eastAsia" w:ascii="宋体" w:hAnsi="宋体" w:eastAsia="宋体"/>
                <w:szCs w:val="21"/>
              </w:rPr>
              <w:t>船外机(30HP短轴)</w:t>
            </w:r>
          </w:p>
        </w:tc>
        <w:tc>
          <w:tcPr>
            <w:tcW w:w="475" w:type="pct"/>
            <w:vAlign w:val="center"/>
          </w:tcPr>
          <w:p w14:paraId="66F0C72C">
            <w:pPr>
              <w:spacing w:line="360" w:lineRule="auto"/>
              <w:jc w:val="center"/>
              <w:rPr>
                <w:rFonts w:hint="eastAsia" w:ascii="宋体" w:hAnsi="宋体" w:eastAsia="宋体"/>
                <w:szCs w:val="21"/>
              </w:rPr>
            </w:pPr>
            <w:r>
              <w:rPr>
                <w:rFonts w:hint="eastAsia" w:ascii="宋体" w:hAnsi="宋体" w:eastAsia="宋体"/>
                <w:szCs w:val="21"/>
              </w:rPr>
              <w:t>5</w:t>
            </w:r>
          </w:p>
        </w:tc>
        <w:tc>
          <w:tcPr>
            <w:tcW w:w="667" w:type="pct"/>
            <w:vAlign w:val="center"/>
          </w:tcPr>
          <w:p w14:paraId="3E15E0CA">
            <w:pPr>
              <w:spacing w:line="360" w:lineRule="auto"/>
              <w:jc w:val="center"/>
              <w:rPr>
                <w:rFonts w:hint="eastAsia" w:ascii="宋体" w:hAnsi="宋体" w:eastAsia="宋体"/>
                <w:szCs w:val="21"/>
              </w:rPr>
            </w:pPr>
            <w:r>
              <w:rPr>
                <w:rFonts w:hint="eastAsia" w:ascii="宋体" w:hAnsi="宋体" w:eastAsia="宋体"/>
                <w:szCs w:val="21"/>
              </w:rPr>
              <w:t>台</w:t>
            </w:r>
          </w:p>
        </w:tc>
        <w:tc>
          <w:tcPr>
            <w:tcW w:w="667" w:type="pct"/>
            <w:vAlign w:val="center"/>
          </w:tcPr>
          <w:p w14:paraId="685D7E3F">
            <w:pPr>
              <w:spacing w:line="360" w:lineRule="auto"/>
              <w:jc w:val="center"/>
              <w:rPr>
                <w:rFonts w:hint="eastAsia" w:ascii="宋体" w:hAnsi="宋体" w:eastAsia="宋体"/>
                <w:szCs w:val="21"/>
              </w:rPr>
            </w:pPr>
            <w:r>
              <w:rPr>
                <w:rFonts w:hint="eastAsia" w:ascii="宋体" w:hAnsi="宋体" w:eastAsia="宋体"/>
                <w:szCs w:val="21"/>
              </w:rPr>
              <w:t>2</w:t>
            </w:r>
            <w:r>
              <w:rPr>
                <w:rFonts w:ascii="宋体" w:hAnsi="宋体" w:eastAsia="宋体"/>
                <w:szCs w:val="21"/>
              </w:rPr>
              <w:t>50</w:t>
            </w:r>
            <w:r>
              <w:rPr>
                <w:rFonts w:hint="eastAsia" w:ascii="宋体" w:hAnsi="宋体" w:eastAsia="宋体"/>
                <w:szCs w:val="21"/>
              </w:rPr>
              <w:t>00</w:t>
            </w:r>
          </w:p>
        </w:tc>
        <w:tc>
          <w:tcPr>
            <w:tcW w:w="1739" w:type="pct"/>
            <w:vAlign w:val="center"/>
          </w:tcPr>
          <w:p w14:paraId="65C1210F">
            <w:pPr>
              <w:spacing w:line="360" w:lineRule="auto"/>
              <w:jc w:val="center"/>
              <w:rPr>
                <w:rFonts w:hint="eastAsia" w:ascii="宋体" w:hAnsi="宋体" w:eastAsia="宋体"/>
                <w:szCs w:val="21"/>
              </w:rPr>
            </w:pPr>
            <w:r>
              <w:rPr>
                <w:rFonts w:ascii="宋体" w:hAnsi="宋体" w:eastAsia="宋体"/>
                <w:szCs w:val="21"/>
              </w:rPr>
              <w:drawing>
                <wp:inline distT="0" distB="0" distL="0" distR="0">
                  <wp:extent cx="1075055" cy="1533525"/>
                  <wp:effectExtent l="0" t="0" r="10795" b="9525"/>
                  <wp:docPr id="13256858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85804"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78717" cy="1538699"/>
                          </a:xfrm>
                          <a:prstGeom prst="rect">
                            <a:avLst/>
                          </a:prstGeom>
                          <a:noFill/>
                          <a:ln>
                            <a:noFill/>
                          </a:ln>
                        </pic:spPr>
                      </pic:pic>
                    </a:graphicData>
                  </a:graphic>
                </wp:inline>
              </w:drawing>
            </w:r>
          </w:p>
        </w:tc>
      </w:tr>
      <w:tr w14:paraId="6BA5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48802D14">
            <w:pPr>
              <w:spacing w:line="360" w:lineRule="auto"/>
              <w:jc w:val="center"/>
              <w:rPr>
                <w:rFonts w:hint="eastAsia" w:ascii="宋体" w:hAnsi="宋体" w:eastAsia="宋体"/>
                <w:szCs w:val="21"/>
              </w:rPr>
            </w:pPr>
            <w:r>
              <w:rPr>
                <w:rFonts w:hint="eastAsia" w:ascii="宋体" w:hAnsi="宋体" w:eastAsia="宋体"/>
                <w:szCs w:val="21"/>
              </w:rPr>
              <w:t>3</w:t>
            </w:r>
          </w:p>
        </w:tc>
        <w:tc>
          <w:tcPr>
            <w:tcW w:w="1075" w:type="pct"/>
            <w:vAlign w:val="center"/>
          </w:tcPr>
          <w:p w14:paraId="784E2B6F">
            <w:pPr>
              <w:spacing w:line="360" w:lineRule="auto"/>
              <w:jc w:val="center"/>
              <w:rPr>
                <w:rFonts w:hint="eastAsia" w:ascii="宋体" w:hAnsi="宋体" w:eastAsia="宋体"/>
                <w:szCs w:val="21"/>
              </w:rPr>
            </w:pPr>
            <w:bookmarkStart w:id="2" w:name="OLE_LINK7"/>
            <w:r>
              <w:rPr>
                <w:rFonts w:hint="eastAsia" w:ascii="宋体" w:hAnsi="宋体" w:eastAsia="宋体"/>
                <w:szCs w:val="21"/>
              </w:rPr>
              <w:t>激流救生衣</w:t>
            </w:r>
            <w:bookmarkEnd w:id="2"/>
          </w:p>
        </w:tc>
        <w:tc>
          <w:tcPr>
            <w:tcW w:w="475" w:type="pct"/>
            <w:vAlign w:val="center"/>
          </w:tcPr>
          <w:p w14:paraId="69E532FD">
            <w:pPr>
              <w:spacing w:line="360" w:lineRule="auto"/>
              <w:jc w:val="center"/>
              <w:rPr>
                <w:rFonts w:hint="eastAsia" w:ascii="宋体" w:hAnsi="宋体" w:eastAsia="宋体"/>
                <w:szCs w:val="21"/>
              </w:rPr>
            </w:pPr>
            <w:r>
              <w:rPr>
                <w:rFonts w:hint="eastAsia" w:ascii="宋体" w:hAnsi="宋体" w:eastAsia="宋体"/>
                <w:szCs w:val="21"/>
              </w:rPr>
              <w:t>60</w:t>
            </w:r>
          </w:p>
        </w:tc>
        <w:tc>
          <w:tcPr>
            <w:tcW w:w="667" w:type="pct"/>
            <w:vAlign w:val="center"/>
          </w:tcPr>
          <w:p w14:paraId="18E202E2">
            <w:pPr>
              <w:spacing w:line="360" w:lineRule="auto"/>
              <w:jc w:val="center"/>
              <w:rPr>
                <w:rFonts w:hint="eastAsia" w:ascii="宋体" w:hAnsi="宋体" w:eastAsia="宋体"/>
                <w:szCs w:val="21"/>
              </w:rPr>
            </w:pPr>
            <w:r>
              <w:rPr>
                <w:rFonts w:hint="eastAsia" w:ascii="宋体" w:hAnsi="宋体" w:eastAsia="宋体"/>
                <w:szCs w:val="21"/>
              </w:rPr>
              <w:t>件</w:t>
            </w:r>
          </w:p>
        </w:tc>
        <w:tc>
          <w:tcPr>
            <w:tcW w:w="667" w:type="pct"/>
            <w:vAlign w:val="center"/>
          </w:tcPr>
          <w:p w14:paraId="31954BF4">
            <w:pPr>
              <w:spacing w:line="360" w:lineRule="auto"/>
              <w:jc w:val="center"/>
              <w:rPr>
                <w:rFonts w:hint="eastAsia" w:ascii="宋体" w:hAnsi="宋体" w:eastAsia="宋体"/>
                <w:szCs w:val="21"/>
              </w:rPr>
            </w:pPr>
            <w:r>
              <w:rPr>
                <w:rFonts w:ascii="宋体" w:hAnsi="宋体" w:eastAsia="宋体"/>
                <w:szCs w:val="21"/>
              </w:rPr>
              <w:t>1150</w:t>
            </w:r>
          </w:p>
        </w:tc>
        <w:tc>
          <w:tcPr>
            <w:tcW w:w="1739" w:type="pct"/>
            <w:vAlign w:val="center"/>
          </w:tcPr>
          <w:p w14:paraId="478F9DCA">
            <w:pPr>
              <w:spacing w:line="360" w:lineRule="auto"/>
              <w:jc w:val="center"/>
              <w:rPr>
                <w:rFonts w:hint="eastAsia" w:ascii="宋体" w:hAnsi="宋体" w:eastAsia="宋体"/>
                <w:szCs w:val="21"/>
              </w:rPr>
            </w:pPr>
            <w:r>
              <w:drawing>
                <wp:inline distT="0" distB="0" distL="0" distR="0">
                  <wp:extent cx="1225550" cy="1735455"/>
                  <wp:effectExtent l="0" t="0" r="12700" b="17145"/>
                  <wp:docPr id="8070004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00458"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37034" cy="1752043"/>
                          </a:xfrm>
                          <a:prstGeom prst="rect">
                            <a:avLst/>
                          </a:prstGeom>
                          <a:noFill/>
                          <a:ln>
                            <a:noFill/>
                          </a:ln>
                        </pic:spPr>
                      </pic:pic>
                    </a:graphicData>
                  </a:graphic>
                </wp:inline>
              </w:drawing>
            </w:r>
          </w:p>
        </w:tc>
      </w:tr>
      <w:tr w14:paraId="66F1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3C9CE681">
            <w:pPr>
              <w:spacing w:line="360" w:lineRule="auto"/>
              <w:jc w:val="center"/>
              <w:rPr>
                <w:rFonts w:hint="eastAsia" w:ascii="宋体" w:hAnsi="宋体" w:eastAsia="宋体"/>
                <w:szCs w:val="21"/>
              </w:rPr>
            </w:pPr>
            <w:r>
              <w:rPr>
                <w:rFonts w:hint="eastAsia" w:ascii="宋体" w:hAnsi="宋体" w:eastAsia="宋体"/>
                <w:szCs w:val="21"/>
              </w:rPr>
              <w:t>4</w:t>
            </w:r>
          </w:p>
        </w:tc>
        <w:tc>
          <w:tcPr>
            <w:tcW w:w="1075" w:type="pct"/>
            <w:vAlign w:val="center"/>
          </w:tcPr>
          <w:p w14:paraId="6A43C372">
            <w:pPr>
              <w:spacing w:line="360" w:lineRule="auto"/>
              <w:jc w:val="center"/>
              <w:rPr>
                <w:rFonts w:hint="eastAsia" w:ascii="宋体" w:hAnsi="宋体" w:eastAsia="宋体"/>
                <w:szCs w:val="21"/>
              </w:rPr>
            </w:pPr>
            <w:r>
              <w:rPr>
                <w:rFonts w:hint="eastAsia" w:ascii="宋体" w:hAnsi="宋体" w:eastAsia="宋体"/>
                <w:szCs w:val="21"/>
              </w:rPr>
              <w:t>救生衣</w:t>
            </w:r>
          </w:p>
        </w:tc>
        <w:tc>
          <w:tcPr>
            <w:tcW w:w="475" w:type="pct"/>
            <w:vAlign w:val="center"/>
          </w:tcPr>
          <w:p w14:paraId="44ADCB6C">
            <w:pPr>
              <w:spacing w:line="360" w:lineRule="auto"/>
              <w:jc w:val="center"/>
              <w:rPr>
                <w:rFonts w:hint="eastAsia" w:ascii="宋体" w:hAnsi="宋体" w:eastAsia="宋体"/>
                <w:szCs w:val="21"/>
              </w:rPr>
            </w:pPr>
            <w:r>
              <w:rPr>
                <w:rFonts w:hint="eastAsia" w:ascii="宋体" w:hAnsi="宋体" w:eastAsia="宋体"/>
                <w:szCs w:val="21"/>
              </w:rPr>
              <w:t>300</w:t>
            </w:r>
          </w:p>
        </w:tc>
        <w:tc>
          <w:tcPr>
            <w:tcW w:w="667" w:type="pct"/>
            <w:vAlign w:val="center"/>
          </w:tcPr>
          <w:p w14:paraId="5A61D45C">
            <w:pPr>
              <w:spacing w:line="360" w:lineRule="auto"/>
              <w:jc w:val="center"/>
              <w:rPr>
                <w:rFonts w:hint="eastAsia" w:ascii="宋体" w:hAnsi="宋体" w:eastAsia="宋体"/>
                <w:szCs w:val="21"/>
              </w:rPr>
            </w:pPr>
            <w:r>
              <w:rPr>
                <w:rFonts w:hint="eastAsia" w:ascii="宋体" w:hAnsi="宋体" w:eastAsia="宋体"/>
                <w:szCs w:val="21"/>
              </w:rPr>
              <w:t>件</w:t>
            </w:r>
          </w:p>
        </w:tc>
        <w:tc>
          <w:tcPr>
            <w:tcW w:w="667" w:type="pct"/>
            <w:vAlign w:val="center"/>
          </w:tcPr>
          <w:p w14:paraId="761CBD5D">
            <w:pPr>
              <w:spacing w:line="360" w:lineRule="auto"/>
              <w:jc w:val="center"/>
              <w:rPr>
                <w:rFonts w:hint="eastAsia" w:ascii="宋体" w:hAnsi="宋体" w:eastAsia="宋体"/>
                <w:szCs w:val="21"/>
              </w:rPr>
            </w:pPr>
            <w:r>
              <w:rPr>
                <w:rFonts w:ascii="宋体" w:hAnsi="宋体" w:eastAsia="宋体"/>
                <w:szCs w:val="21"/>
              </w:rPr>
              <w:t>395</w:t>
            </w:r>
          </w:p>
        </w:tc>
        <w:tc>
          <w:tcPr>
            <w:tcW w:w="1739" w:type="pct"/>
            <w:vAlign w:val="center"/>
          </w:tcPr>
          <w:p w14:paraId="479980DC">
            <w:pPr>
              <w:spacing w:line="360" w:lineRule="auto"/>
              <w:jc w:val="center"/>
              <w:rPr>
                <w:rFonts w:hint="eastAsia" w:ascii="宋体" w:hAnsi="宋体" w:eastAsia="宋体"/>
                <w:szCs w:val="21"/>
              </w:rPr>
            </w:pPr>
            <w:r>
              <w:drawing>
                <wp:inline distT="0" distB="0" distL="0" distR="0">
                  <wp:extent cx="1495425" cy="1400175"/>
                  <wp:effectExtent l="0" t="0" r="9525" b="9525"/>
                  <wp:docPr id="3499448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44829"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95425" cy="1400175"/>
                          </a:xfrm>
                          <a:prstGeom prst="rect">
                            <a:avLst/>
                          </a:prstGeom>
                          <a:noFill/>
                          <a:ln>
                            <a:noFill/>
                          </a:ln>
                        </pic:spPr>
                      </pic:pic>
                    </a:graphicData>
                  </a:graphic>
                </wp:inline>
              </w:drawing>
            </w:r>
          </w:p>
        </w:tc>
      </w:tr>
      <w:bookmarkEnd w:id="0"/>
      <w:tr w14:paraId="0E7D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54952398">
            <w:pPr>
              <w:spacing w:line="360" w:lineRule="auto"/>
              <w:jc w:val="center"/>
              <w:rPr>
                <w:rFonts w:hint="eastAsia" w:ascii="宋体" w:hAnsi="宋体" w:eastAsia="宋体"/>
                <w:szCs w:val="21"/>
              </w:rPr>
            </w:pPr>
            <w:r>
              <w:rPr>
                <w:rFonts w:hint="eastAsia" w:ascii="宋体" w:hAnsi="宋体" w:eastAsia="宋体"/>
                <w:szCs w:val="21"/>
              </w:rPr>
              <w:t>5</w:t>
            </w:r>
          </w:p>
        </w:tc>
        <w:tc>
          <w:tcPr>
            <w:tcW w:w="1075" w:type="pct"/>
            <w:vAlign w:val="center"/>
          </w:tcPr>
          <w:p w14:paraId="78836923">
            <w:pPr>
              <w:spacing w:line="360" w:lineRule="auto"/>
              <w:jc w:val="center"/>
              <w:rPr>
                <w:rFonts w:hint="eastAsia" w:ascii="宋体" w:hAnsi="宋体" w:eastAsia="宋体"/>
                <w:szCs w:val="21"/>
              </w:rPr>
            </w:pPr>
            <w:bookmarkStart w:id="3" w:name="OLE_LINK8"/>
            <w:r>
              <w:rPr>
                <w:rFonts w:hint="eastAsia" w:ascii="宋体" w:hAnsi="宋体" w:eastAsia="宋体"/>
                <w:szCs w:val="21"/>
              </w:rPr>
              <w:t>佩戴式防爆照明灯</w:t>
            </w:r>
            <w:bookmarkEnd w:id="3"/>
          </w:p>
        </w:tc>
        <w:tc>
          <w:tcPr>
            <w:tcW w:w="475" w:type="pct"/>
            <w:vAlign w:val="center"/>
          </w:tcPr>
          <w:p w14:paraId="64656BA2">
            <w:pPr>
              <w:spacing w:line="360" w:lineRule="auto"/>
              <w:jc w:val="center"/>
              <w:rPr>
                <w:rFonts w:hint="eastAsia" w:ascii="宋体" w:hAnsi="宋体" w:eastAsia="宋体"/>
                <w:szCs w:val="21"/>
              </w:rPr>
            </w:pPr>
            <w:r>
              <w:rPr>
                <w:rFonts w:hint="eastAsia" w:ascii="宋体" w:hAnsi="宋体" w:eastAsia="宋体"/>
                <w:szCs w:val="21"/>
              </w:rPr>
              <w:t>300</w:t>
            </w:r>
          </w:p>
        </w:tc>
        <w:tc>
          <w:tcPr>
            <w:tcW w:w="667" w:type="pct"/>
            <w:vAlign w:val="center"/>
          </w:tcPr>
          <w:p w14:paraId="21DF12E0">
            <w:pPr>
              <w:spacing w:line="360" w:lineRule="auto"/>
              <w:jc w:val="center"/>
              <w:rPr>
                <w:rFonts w:hint="eastAsia" w:ascii="宋体" w:hAnsi="宋体" w:eastAsia="宋体"/>
                <w:szCs w:val="21"/>
              </w:rPr>
            </w:pPr>
            <w:r>
              <w:rPr>
                <w:rFonts w:hint="eastAsia" w:ascii="宋体" w:hAnsi="宋体" w:eastAsia="宋体"/>
                <w:szCs w:val="21"/>
              </w:rPr>
              <w:t>个</w:t>
            </w:r>
          </w:p>
        </w:tc>
        <w:tc>
          <w:tcPr>
            <w:tcW w:w="667" w:type="pct"/>
            <w:vAlign w:val="center"/>
          </w:tcPr>
          <w:p w14:paraId="05E3D9DE">
            <w:pPr>
              <w:spacing w:line="360" w:lineRule="auto"/>
              <w:jc w:val="center"/>
              <w:rPr>
                <w:rFonts w:hint="eastAsia" w:ascii="宋体" w:hAnsi="宋体" w:eastAsia="宋体"/>
                <w:szCs w:val="21"/>
              </w:rPr>
            </w:pPr>
            <w:r>
              <w:rPr>
                <w:rFonts w:ascii="宋体" w:hAnsi="宋体" w:eastAsia="宋体"/>
                <w:szCs w:val="21"/>
              </w:rPr>
              <w:t>800</w:t>
            </w:r>
          </w:p>
        </w:tc>
        <w:tc>
          <w:tcPr>
            <w:tcW w:w="1739" w:type="pct"/>
            <w:vAlign w:val="center"/>
          </w:tcPr>
          <w:p w14:paraId="1129DFDC">
            <w:pPr>
              <w:spacing w:line="360" w:lineRule="auto"/>
              <w:jc w:val="center"/>
              <w:rPr>
                <w:rFonts w:hint="eastAsia" w:ascii="宋体" w:hAnsi="宋体" w:eastAsia="宋体"/>
                <w:szCs w:val="21"/>
              </w:rPr>
            </w:pPr>
            <w:r>
              <w:drawing>
                <wp:inline distT="0" distB="0" distL="0" distR="0">
                  <wp:extent cx="1263650" cy="828675"/>
                  <wp:effectExtent l="0" t="0" r="12700" b="9525"/>
                  <wp:docPr id="114" name="图片 114" descr="C:\Users\admin\Desktop\微信图片_20250418114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C:\Users\admin\Desktop\微信图片_2025041811463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89382" cy="845540"/>
                          </a:xfrm>
                          <a:prstGeom prst="rect">
                            <a:avLst/>
                          </a:prstGeom>
                          <a:noFill/>
                          <a:ln>
                            <a:noFill/>
                          </a:ln>
                        </pic:spPr>
                      </pic:pic>
                    </a:graphicData>
                  </a:graphic>
                </wp:inline>
              </w:drawing>
            </w:r>
          </w:p>
        </w:tc>
      </w:tr>
      <w:tr w14:paraId="7940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07BAA3AB">
            <w:pPr>
              <w:spacing w:line="360" w:lineRule="auto"/>
              <w:jc w:val="center"/>
              <w:rPr>
                <w:rFonts w:hint="eastAsia" w:ascii="宋体" w:hAnsi="宋体" w:eastAsia="宋体"/>
                <w:szCs w:val="21"/>
              </w:rPr>
            </w:pPr>
            <w:r>
              <w:rPr>
                <w:rFonts w:hint="eastAsia" w:ascii="宋体" w:hAnsi="宋体" w:eastAsia="宋体"/>
                <w:szCs w:val="21"/>
              </w:rPr>
              <w:t>6</w:t>
            </w:r>
          </w:p>
        </w:tc>
        <w:tc>
          <w:tcPr>
            <w:tcW w:w="1075" w:type="pct"/>
            <w:vAlign w:val="center"/>
          </w:tcPr>
          <w:p w14:paraId="1E258FEB">
            <w:pPr>
              <w:spacing w:line="360" w:lineRule="auto"/>
              <w:jc w:val="center"/>
              <w:rPr>
                <w:rFonts w:hint="eastAsia" w:ascii="宋体" w:hAnsi="宋体" w:eastAsia="宋体"/>
                <w:szCs w:val="21"/>
              </w:rPr>
            </w:pPr>
            <w:r>
              <w:rPr>
                <w:rFonts w:hint="eastAsia" w:ascii="宋体" w:hAnsi="宋体" w:eastAsia="宋体"/>
                <w:szCs w:val="21"/>
              </w:rPr>
              <w:t>手提式防爆照明灯</w:t>
            </w:r>
          </w:p>
        </w:tc>
        <w:tc>
          <w:tcPr>
            <w:tcW w:w="475" w:type="pct"/>
            <w:vAlign w:val="center"/>
          </w:tcPr>
          <w:p w14:paraId="220EF813">
            <w:pPr>
              <w:spacing w:line="360" w:lineRule="auto"/>
              <w:jc w:val="center"/>
              <w:rPr>
                <w:rFonts w:hint="eastAsia" w:ascii="宋体" w:hAnsi="宋体" w:eastAsia="宋体"/>
                <w:szCs w:val="21"/>
              </w:rPr>
            </w:pPr>
            <w:r>
              <w:rPr>
                <w:rFonts w:hint="eastAsia" w:ascii="宋体" w:hAnsi="宋体" w:eastAsia="宋体"/>
                <w:szCs w:val="21"/>
              </w:rPr>
              <w:t>50</w:t>
            </w:r>
          </w:p>
        </w:tc>
        <w:tc>
          <w:tcPr>
            <w:tcW w:w="667" w:type="pct"/>
            <w:vAlign w:val="center"/>
          </w:tcPr>
          <w:p w14:paraId="334FB23E">
            <w:pPr>
              <w:spacing w:line="360" w:lineRule="auto"/>
              <w:jc w:val="center"/>
              <w:rPr>
                <w:rFonts w:hint="eastAsia" w:ascii="宋体" w:hAnsi="宋体" w:eastAsia="宋体"/>
                <w:szCs w:val="21"/>
              </w:rPr>
            </w:pPr>
            <w:r>
              <w:rPr>
                <w:rFonts w:hint="eastAsia" w:ascii="宋体" w:hAnsi="宋体" w:eastAsia="宋体"/>
                <w:szCs w:val="21"/>
              </w:rPr>
              <w:t>个</w:t>
            </w:r>
          </w:p>
        </w:tc>
        <w:tc>
          <w:tcPr>
            <w:tcW w:w="667" w:type="pct"/>
            <w:vAlign w:val="center"/>
          </w:tcPr>
          <w:p w14:paraId="1375B6FD">
            <w:pPr>
              <w:spacing w:line="360" w:lineRule="auto"/>
              <w:jc w:val="center"/>
              <w:rPr>
                <w:rFonts w:hint="eastAsia" w:ascii="宋体" w:hAnsi="宋体" w:eastAsia="宋体"/>
                <w:szCs w:val="21"/>
              </w:rPr>
            </w:pPr>
            <w:r>
              <w:rPr>
                <w:rFonts w:ascii="宋体" w:hAnsi="宋体" w:eastAsia="宋体"/>
                <w:szCs w:val="21"/>
              </w:rPr>
              <w:t>1900</w:t>
            </w:r>
          </w:p>
        </w:tc>
        <w:tc>
          <w:tcPr>
            <w:tcW w:w="1739" w:type="pct"/>
            <w:vAlign w:val="center"/>
          </w:tcPr>
          <w:p w14:paraId="25F9BFCF">
            <w:pPr>
              <w:spacing w:line="360" w:lineRule="auto"/>
              <w:jc w:val="center"/>
              <w:rPr>
                <w:rFonts w:hint="eastAsia" w:ascii="宋体" w:hAnsi="宋体" w:eastAsia="宋体"/>
                <w:szCs w:val="21"/>
              </w:rPr>
            </w:pPr>
            <w:r>
              <w:drawing>
                <wp:inline distT="0" distB="0" distL="0" distR="0">
                  <wp:extent cx="1158240" cy="1032510"/>
                  <wp:effectExtent l="0" t="0" r="3810" b="15240"/>
                  <wp:docPr id="115" name="图片 115" descr="C:\Users\admin\Documents\WeChat Files\wxid_vx57ai246uvf21\FileStorage\Temp\1744948107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C:\Users\admin\Documents\WeChat Files\wxid_vx57ai246uvf21\FileStorage\Temp\17449481074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88724" cy="1059761"/>
                          </a:xfrm>
                          <a:prstGeom prst="rect">
                            <a:avLst/>
                          </a:prstGeom>
                          <a:noFill/>
                          <a:ln>
                            <a:noFill/>
                          </a:ln>
                        </pic:spPr>
                      </pic:pic>
                    </a:graphicData>
                  </a:graphic>
                </wp:inline>
              </w:drawing>
            </w:r>
          </w:p>
        </w:tc>
      </w:tr>
      <w:tr w14:paraId="460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2E582C28">
            <w:pPr>
              <w:spacing w:line="360" w:lineRule="auto"/>
              <w:jc w:val="center"/>
              <w:rPr>
                <w:rFonts w:hint="eastAsia" w:ascii="宋体" w:hAnsi="宋体" w:eastAsia="宋体"/>
                <w:szCs w:val="21"/>
              </w:rPr>
            </w:pPr>
            <w:r>
              <w:rPr>
                <w:rFonts w:hint="eastAsia" w:ascii="宋体" w:hAnsi="宋体" w:eastAsia="宋体"/>
                <w:szCs w:val="21"/>
              </w:rPr>
              <w:t>7</w:t>
            </w:r>
          </w:p>
        </w:tc>
        <w:tc>
          <w:tcPr>
            <w:tcW w:w="1075" w:type="pct"/>
            <w:vAlign w:val="center"/>
          </w:tcPr>
          <w:p w14:paraId="07A2B880">
            <w:pPr>
              <w:spacing w:line="360" w:lineRule="auto"/>
              <w:jc w:val="center"/>
              <w:rPr>
                <w:rFonts w:hint="eastAsia" w:ascii="宋体" w:hAnsi="宋体" w:eastAsia="宋体"/>
                <w:szCs w:val="21"/>
              </w:rPr>
            </w:pPr>
            <w:bookmarkStart w:id="4" w:name="OLE_LINK9"/>
            <w:r>
              <w:rPr>
                <w:rFonts w:hint="eastAsia" w:ascii="宋体" w:hAnsi="宋体" w:eastAsia="宋体"/>
                <w:szCs w:val="21"/>
              </w:rPr>
              <w:t>救生拉杆</w:t>
            </w:r>
            <w:bookmarkEnd w:id="4"/>
          </w:p>
        </w:tc>
        <w:tc>
          <w:tcPr>
            <w:tcW w:w="475" w:type="pct"/>
            <w:vAlign w:val="center"/>
          </w:tcPr>
          <w:p w14:paraId="088CC24C">
            <w:pPr>
              <w:spacing w:line="360" w:lineRule="auto"/>
              <w:jc w:val="center"/>
              <w:rPr>
                <w:rFonts w:hint="eastAsia" w:ascii="宋体" w:hAnsi="宋体" w:eastAsia="宋体"/>
                <w:szCs w:val="21"/>
              </w:rPr>
            </w:pPr>
            <w:r>
              <w:rPr>
                <w:rFonts w:hint="eastAsia" w:ascii="宋体" w:hAnsi="宋体" w:eastAsia="宋体"/>
                <w:szCs w:val="21"/>
              </w:rPr>
              <w:t>40</w:t>
            </w:r>
          </w:p>
        </w:tc>
        <w:tc>
          <w:tcPr>
            <w:tcW w:w="667" w:type="pct"/>
            <w:vAlign w:val="center"/>
          </w:tcPr>
          <w:p w14:paraId="1B068F24">
            <w:pPr>
              <w:spacing w:line="360" w:lineRule="auto"/>
              <w:jc w:val="center"/>
              <w:rPr>
                <w:rFonts w:hint="eastAsia" w:ascii="宋体" w:hAnsi="宋体" w:eastAsia="宋体"/>
                <w:szCs w:val="21"/>
              </w:rPr>
            </w:pPr>
            <w:r>
              <w:rPr>
                <w:rFonts w:hint="eastAsia" w:ascii="宋体" w:hAnsi="宋体" w:eastAsia="宋体"/>
                <w:szCs w:val="21"/>
              </w:rPr>
              <w:t>套</w:t>
            </w:r>
          </w:p>
        </w:tc>
        <w:tc>
          <w:tcPr>
            <w:tcW w:w="667" w:type="pct"/>
            <w:vAlign w:val="center"/>
          </w:tcPr>
          <w:p w14:paraId="65AE0E06">
            <w:pPr>
              <w:spacing w:line="360" w:lineRule="auto"/>
              <w:jc w:val="center"/>
              <w:rPr>
                <w:rFonts w:hint="eastAsia" w:ascii="宋体" w:hAnsi="宋体" w:eastAsia="宋体"/>
                <w:szCs w:val="21"/>
              </w:rPr>
            </w:pPr>
            <w:r>
              <w:rPr>
                <w:rFonts w:ascii="宋体" w:hAnsi="宋体" w:eastAsia="宋体"/>
                <w:szCs w:val="21"/>
              </w:rPr>
              <w:t>80</w:t>
            </w:r>
            <w:r>
              <w:rPr>
                <w:rFonts w:hint="eastAsia" w:ascii="宋体" w:hAnsi="宋体" w:eastAsia="宋体"/>
                <w:szCs w:val="21"/>
              </w:rPr>
              <w:t>00</w:t>
            </w:r>
          </w:p>
        </w:tc>
        <w:tc>
          <w:tcPr>
            <w:tcW w:w="1739" w:type="pct"/>
            <w:vAlign w:val="center"/>
          </w:tcPr>
          <w:p w14:paraId="615CF3FD">
            <w:pPr>
              <w:spacing w:line="360" w:lineRule="auto"/>
              <w:jc w:val="center"/>
              <w:rPr>
                <w:rFonts w:hint="eastAsia" w:ascii="宋体" w:hAnsi="宋体" w:eastAsia="宋体"/>
                <w:szCs w:val="21"/>
              </w:rPr>
            </w:pPr>
            <w:r>
              <w:rPr>
                <w:rFonts w:ascii="宋体" w:hAnsi="宋体" w:eastAsia="宋体"/>
                <w:szCs w:val="21"/>
              </w:rPr>
              <w:drawing>
                <wp:inline distT="0" distB="0" distL="0" distR="0">
                  <wp:extent cx="1250950" cy="981075"/>
                  <wp:effectExtent l="0" t="0" r="6350" b="9525"/>
                  <wp:docPr id="15936947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94732"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62252" cy="989619"/>
                          </a:xfrm>
                          <a:prstGeom prst="rect">
                            <a:avLst/>
                          </a:prstGeom>
                          <a:noFill/>
                          <a:ln>
                            <a:noFill/>
                          </a:ln>
                        </pic:spPr>
                      </pic:pic>
                    </a:graphicData>
                  </a:graphic>
                </wp:inline>
              </w:drawing>
            </w:r>
          </w:p>
        </w:tc>
      </w:tr>
      <w:tr w14:paraId="11E5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667ABC10">
            <w:pPr>
              <w:spacing w:line="360" w:lineRule="auto"/>
              <w:jc w:val="center"/>
              <w:rPr>
                <w:rFonts w:hint="eastAsia" w:ascii="宋体" w:hAnsi="宋体" w:eastAsia="宋体"/>
                <w:szCs w:val="21"/>
              </w:rPr>
            </w:pPr>
            <w:r>
              <w:rPr>
                <w:rFonts w:hint="eastAsia" w:ascii="宋体" w:hAnsi="宋体" w:eastAsia="宋体"/>
                <w:szCs w:val="21"/>
              </w:rPr>
              <w:t>8</w:t>
            </w:r>
          </w:p>
        </w:tc>
        <w:tc>
          <w:tcPr>
            <w:tcW w:w="1075" w:type="pct"/>
            <w:vAlign w:val="center"/>
          </w:tcPr>
          <w:p w14:paraId="0D8DA2CF">
            <w:pPr>
              <w:spacing w:line="360" w:lineRule="auto"/>
              <w:jc w:val="center"/>
              <w:rPr>
                <w:rFonts w:hint="eastAsia" w:ascii="宋体" w:hAnsi="宋体" w:eastAsia="宋体"/>
                <w:szCs w:val="21"/>
              </w:rPr>
            </w:pPr>
            <w:bookmarkStart w:id="5" w:name="OLE_LINK10"/>
            <w:r>
              <w:rPr>
                <w:rFonts w:hint="eastAsia" w:ascii="宋体" w:hAnsi="宋体" w:eastAsia="宋体"/>
                <w:szCs w:val="21"/>
              </w:rPr>
              <w:t>抛绳包</w:t>
            </w:r>
            <w:bookmarkEnd w:id="5"/>
          </w:p>
        </w:tc>
        <w:tc>
          <w:tcPr>
            <w:tcW w:w="475" w:type="pct"/>
            <w:vAlign w:val="center"/>
          </w:tcPr>
          <w:p w14:paraId="0DAB8F62">
            <w:pPr>
              <w:spacing w:line="360" w:lineRule="auto"/>
              <w:jc w:val="center"/>
              <w:rPr>
                <w:rFonts w:hint="eastAsia" w:ascii="宋体" w:hAnsi="宋体" w:eastAsia="宋体"/>
                <w:szCs w:val="21"/>
              </w:rPr>
            </w:pPr>
            <w:r>
              <w:rPr>
                <w:rFonts w:hint="eastAsia" w:ascii="宋体" w:hAnsi="宋体" w:eastAsia="宋体"/>
                <w:szCs w:val="21"/>
              </w:rPr>
              <w:t>60</w:t>
            </w:r>
          </w:p>
        </w:tc>
        <w:tc>
          <w:tcPr>
            <w:tcW w:w="667" w:type="pct"/>
            <w:vAlign w:val="center"/>
          </w:tcPr>
          <w:p w14:paraId="09A84E37">
            <w:pPr>
              <w:spacing w:line="360" w:lineRule="auto"/>
              <w:jc w:val="center"/>
              <w:rPr>
                <w:rFonts w:hint="eastAsia" w:ascii="宋体" w:hAnsi="宋体" w:eastAsia="宋体"/>
                <w:szCs w:val="21"/>
              </w:rPr>
            </w:pPr>
            <w:r>
              <w:rPr>
                <w:rFonts w:hint="eastAsia" w:ascii="宋体" w:hAnsi="宋体" w:eastAsia="宋体"/>
                <w:szCs w:val="21"/>
              </w:rPr>
              <w:t>个</w:t>
            </w:r>
          </w:p>
        </w:tc>
        <w:tc>
          <w:tcPr>
            <w:tcW w:w="667" w:type="pct"/>
            <w:vAlign w:val="center"/>
          </w:tcPr>
          <w:p w14:paraId="18CD3C85">
            <w:pPr>
              <w:spacing w:line="360" w:lineRule="auto"/>
              <w:jc w:val="center"/>
              <w:rPr>
                <w:rFonts w:hint="eastAsia" w:ascii="宋体" w:hAnsi="宋体" w:eastAsia="宋体"/>
                <w:szCs w:val="21"/>
              </w:rPr>
            </w:pPr>
            <w:r>
              <w:rPr>
                <w:rFonts w:ascii="宋体" w:hAnsi="宋体" w:eastAsia="宋体"/>
                <w:szCs w:val="21"/>
              </w:rPr>
              <w:t>350</w:t>
            </w:r>
          </w:p>
        </w:tc>
        <w:tc>
          <w:tcPr>
            <w:tcW w:w="1739" w:type="pct"/>
            <w:vAlign w:val="center"/>
          </w:tcPr>
          <w:p w14:paraId="1497780F">
            <w:pPr>
              <w:spacing w:line="360" w:lineRule="auto"/>
              <w:jc w:val="center"/>
              <w:rPr>
                <w:rFonts w:hint="eastAsia" w:ascii="宋体" w:hAnsi="宋体" w:eastAsia="宋体"/>
                <w:szCs w:val="21"/>
              </w:rPr>
            </w:pPr>
            <w:r>
              <w:rPr>
                <w:rFonts w:ascii="宋体" w:hAnsi="宋体" w:eastAsia="宋体"/>
                <w:szCs w:val="21"/>
              </w:rPr>
              <w:drawing>
                <wp:inline distT="0" distB="0" distL="0" distR="0">
                  <wp:extent cx="1179830" cy="1562100"/>
                  <wp:effectExtent l="0" t="0" r="1270" b="0"/>
                  <wp:docPr id="17239192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19234" name="图片 7"/>
                          <pic:cNvPicPr>
                            <a:picLocks noChangeAspect="1" noChangeArrowheads="1"/>
                          </pic:cNvPicPr>
                        </pic:nvPicPr>
                        <pic:blipFill>
                          <a:blip r:embed="rId11">
                            <a:extLst>
                              <a:ext uri="{28A0092B-C50C-407E-A947-70E740481C1C}">
                                <a14:useLocalDpi xmlns:a14="http://schemas.microsoft.com/office/drawing/2010/main" val="0"/>
                              </a:ext>
                            </a:extLst>
                          </a:blip>
                          <a:srcRect b="3743"/>
                          <a:stretch>
                            <a:fillRect/>
                          </a:stretch>
                        </pic:blipFill>
                        <pic:spPr>
                          <a:xfrm>
                            <a:off x="0" y="0"/>
                            <a:ext cx="1180676" cy="1562660"/>
                          </a:xfrm>
                          <a:prstGeom prst="rect">
                            <a:avLst/>
                          </a:prstGeom>
                          <a:noFill/>
                          <a:ln>
                            <a:noFill/>
                          </a:ln>
                        </pic:spPr>
                      </pic:pic>
                    </a:graphicData>
                  </a:graphic>
                </wp:inline>
              </w:drawing>
            </w:r>
          </w:p>
        </w:tc>
      </w:tr>
      <w:tr w14:paraId="7034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31EC4B48">
            <w:pPr>
              <w:spacing w:line="360" w:lineRule="auto"/>
              <w:jc w:val="center"/>
              <w:rPr>
                <w:rFonts w:hint="eastAsia" w:ascii="宋体" w:hAnsi="宋体" w:eastAsia="宋体"/>
                <w:szCs w:val="21"/>
              </w:rPr>
            </w:pPr>
            <w:r>
              <w:rPr>
                <w:rFonts w:hint="eastAsia" w:ascii="宋体" w:hAnsi="宋体" w:eastAsia="宋体"/>
                <w:szCs w:val="21"/>
              </w:rPr>
              <w:t>9</w:t>
            </w:r>
          </w:p>
        </w:tc>
        <w:tc>
          <w:tcPr>
            <w:tcW w:w="1075" w:type="pct"/>
            <w:vAlign w:val="center"/>
          </w:tcPr>
          <w:p w14:paraId="5110E458">
            <w:pPr>
              <w:spacing w:line="360" w:lineRule="auto"/>
              <w:jc w:val="center"/>
              <w:rPr>
                <w:rFonts w:hint="eastAsia" w:ascii="宋体" w:hAnsi="宋体" w:eastAsia="宋体"/>
                <w:szCs w:val="21"/>
              </w:rPr>
            </w:pPr>
            <w:bookmarkStart w:id="6" w:name="OLE_LINK5"/>
            <w:r>
              <w:rPr>
                <w:rFonts w:hint="eastAsia" w:ascii="宋体" w:hAnsi="宋体" w:eastAsia="宋体"/>
                <w:szCs w:val="21"/>
              </w:rPr>
              <w:t>救生圈</w:t>
            </w:r>
            <w:bookmarkEnd w:id="6"/>
          </w:p>
        </w:tc>
        <w:tc>
          <w:tcPr>
            <w:tcW w:w="475" w:type="pct"/>
            <w:vAlign w:val="center"/>
          </w:tcPr>
          <w:p w14:paraId="1014DFFC">
            <w:pPr>
              <w:spacing w:line="360" w:lineRule="auto"/>
              <w:jc w:val="center"/>
              <w:rPr>
                <w:rFonts w:hint="eastAsia" w:ascii="宋体" w:hAnsi="宋体" w:eastAsia="宋体"/>
                <w:szCs w:val="21"/>
              </w:rPr>
            </w:pPr>
            <w:r>
              <w:rPr>
                <w:rFonts w:hint="eastAsia" w:ascii="宋体" w:hAnsi="宋体" w:eastAsia="宋体"/>
                <w:szCs w:val="21"/>
              </w:rPr>
              <w:t>200</w:t>
            </w:r>
          </w:p>
        </w:tc>
        <w:tc>
          <w:tcPr>
            <w:tcW w:w="667" w:type="pct"/>
            <w:vAlign w:val="center"/>
          </w:tcPr>
          <w:p w14:paraId="0BE17C20">
            <w:pPr>
              <w:spacing w:line="360" w:lineRule="auto"/>
              <w:jc w:val="center"/>
              <w:rPr>
                <w:rFonts w:hint="eastAsia" w:ascii="宋体" w:hAnsi="宋体" w:eastAsia="宋体"/>
                <w:szCs w:val="21"/>
              </w:rPr>
            </w:pPr>
            <w:r>
              <w:rPr>
                <w:rFonts w:hint="eastAsia" w:ascii="宋体" w:hAnsi="宋体" w:eastAsia="宋体"/>
                <w:szCs w:val="21"/>
              </w:rPr>
              <w:t>个</w:t>
            </w:r>
          </w:p>
        </w:tc>
        <w:tc>
          <w:tcPr>
            <w:tcW w:w="667" w:type="pct"/>
            <w:vAlign w:val="center"/>
          </w:tcPr>
          <w:p w14:paraId="6463863A">
            <w:pPr>
              <w:spacing w:line="360" w:lineRule="auto"/>
              <w:jc w:val="center"/>
              <w:rPr>
                <w:rFonts w:hint="eastAsia" w:ascii="宋体" w:hAnsi="宋体" w:eastAsia="宋体"/>
                <w:szCs w:val="21"/>
              </w:rPr>
            </w:pPr>
            <w:r>
              <w:rPr>
                <w:rFonts w:ascii="宋体" w:hAnsi="宋体" w:eastAsia="宋体"/>
                <w:szCs w:val="21"/>
              </w:rPr>
              <w:t>150</w:t>
            </w:r>
          </w:p>
        </w:tc>
        <w:tc>
          <w:tcPr>
            <w:tcW w:w="1739" w:type="pct"/>
            <w:vAlign w:val="center"/>
          </w:tcPr>
          <w:p w14:paraId="59215E86">
            <w:pPr>
              <w:spacing w:line="360" w:lineRule="auto"/>
              <w:jc w:val="center"/>
              <w:rPr>
                <w:rFonts w:hint="eastAsia" w:ascii="宋体" w:hAnsi="宋体" w:eastAsia="宋体"/>
                <w:szCs w:val="21"/>
              </w:rPr>
            </w:pPr>
            <w:r>
              <w:drawing>
                <wp:inline distT="0" distB="0" distL="0" distR="0">
                  <wp:extent cx="1229995" cy="882015"/>
                  <wp:effectExtent l="0" t="0" r="8255" b="13335"/>
                  <wp:docPr id="89504709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47094" name="图片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1026" cy="890175"/>
                          </a:xfrm>
                          <a:prstGeom prst="rect">
                            <a:avLst/>
                          </a:prstGeom>
                          <a:noFill/>
                          <a:ln>
                            <a:noFill/>
                          </a:ln>
                        </pic:spPr>
                      </pic:pic>
                    </a:graphicData>
                  </a:graphic>
                </wp:inline>
              </w:drawing>
            </w:r>
          </w:p>
        </w:tc>
      </w:tr>
    </w:tbl>
    <w:p w14:paraId="18D8E5EE">
      <w:pPr>
        <w:spacing w:line="440" w:lineRule="exact"/>
        <w:rPr>
          <w:b/>
          <w:bCs/>
          <w:sz w:val="24"/>
        </w:rPr>
      </w:pPr>
      <w:r>
        <w:rPr>
          <w:rFonts w:hint="eastAsia"/>
          <w:b/>
          <w:bCs/>
          <w:sz w:val="24"/>
        </w:rPr>
        <w:t>核心产品：高性能橡皮艇(不含船外机)</w:t>
      </w:r>
    </w:p>
    <w:p w14:paraId="53F9A604">
      <w:pPr>
        <w:spacing w:line="440" w:lineRule="exact"/>
        <w:ind w:firstLine="482" w:firstLineChars="200"/>
        <w:rPr>
          <w:b/>
          <w:bCs/>
          <w:sz w:val="24"/>
          <w:lang w:val="zh-CN"/>
        </w:rPr>
      </w:pPr>
      <w:r>
        <w:rPr>
          <w:rFonts w:hint="eastAsia"/>
          <w:b/>
          <w:sz w:val="24"/>
        </w:rPr>
        <w:t>四</w:t>
      </w:r>
      <w:r>
        <w:rPr>
          <w:b/>
          <w:sz w:val="24"/>
        </w:rPr>
        <w:t>、</w:t>
      </w:r>
      <w:r>
        <w:rPr>
          <w:rFonts w:hint="eastAsia"/>
          <w:b/>
          <w:bCs/>
          <w:sz w:val="24"/>
        </w:rPr>
        <w:t>商务要求</w:t>
      </w:r>
    </w:p>
    <w:p w14:paraId="2B62B707">
      <w:pPr>
        <w:spacing w:line="440" w:lineRule="exact"/>
        <w:ind w:firstLine="480" w:firstLineChars="200"/>
        <w:rPr>
          <w:sz w:val="24"/>
          <w:lang w:val="zh-CN"/>
        </w:rPr>
      </w:pPr>
      <w:bookmarkStart w:id="7" w:name="_Hlk168530447"/>
      <w:r>
        <w:rPr>
          <w:rFonts w:hint="eastAsia"/>
          <w:sz w:val="24"/>
          <w:lang w:val="zh-CN"/>
        </w:rPr>
        <w:t>1.交货期：自合同签订之日起60日历日内完成交货并交付采购人验收。</w:t>
      </w:r>
    </w:p>
    <w:p w14:paraId="05145DA4">
      <w:pPr>
        <w:spacing w:line="440" w:lineRule="exact"/>
        <w:ind w:firstLine="480" w:firstLineChars="200"/>
        <w:rPr>
          <w:sz w:val="24"/>
          <w:lang w:val="zh-CN"/>
        </w:rPr>
      </w:pPr>
      <w:r>
        <w:rPr>
          <w:rFonts w:hint="eastAsia"/>
          <w:sz w:val="24"/>
          <w:lang w:val="zh-CN"/>
        </w:rPr>
        <w:t>2.本项目中注明的核心产品，投标人应在《开标一览表》中清晰列明该核心产品的“标的名称、品牌、生产厂家、规格型号”，否则视为无效投标。</w:t>
      </w:r>
    </w:p>
    <w:p w14:paraId="795904BD">
      <w:pPr>
        <w:spacing w:line="440" w:lineRule="exact"/>
        <w:ind w:firstLine="480" w:firstLineChars="200"/>
        <w:rPr>
          <w:sz w:val="24"/>
          <w:lang w:val="zh-CN"/>
        </w:rPr>
      </w:pPr>
      <w:r>
        <w:rPr>
          <w:rFonts w:hint="eastAsia"/>
          <w:sz w:val="24"/>
          <w:lang w:val="zh-CN"/>
        </w:rPr>
        <w:t>3.本项目投标产品须为本国产品。</w:t>
      </w:r>
    </w:p>
    <w:p w14:paraId="6717AE49">
      <w:pPr>
        <w:spacing w:line="440" w:lineRule="exact"/>
        <w:ind w:firstLine="480" w:firstLineChars="200"/>
        <w:rPr>
          <w:sz w:val="24"/>
          <w:lang w:val="zh-CN"/>
        </w:rPr>
      </w:pPr>
      <w:r>
        <w:rPr>
          <w:rFonts w:hint="eastAsia"/>
          <w:sz w:val="24"/>
          <w:lang w:val="zh-CN"/>
        </w:rPr>
        <w:t>4.付款方式：</w:t>
      </w:r>
    </w:p>
    <w:p w14:paraId="12860874">
      <w:pPr>
        <w:spacing w:line="440" w:lineRule="exact"/>
        <w:ind w:firstLine="480" w:firstLineChars="200"/>
        <w:rPr>
          <w:sz w:val="24"/>
          <w:lang w:val="zh-CN"/>
        </w:rPr>
      </w:pPr>
      <w:bookmarkStart w:id="8" w:name="_Hlk168610981"/>
      <w:r>
        <w:rPr>
          <w:rFonts w:hint="eastAsia"/>
          <w:sz w:val="24"/>
          <w:lang w:val="zh-CN"/>
        </w:rPr>
        <w:t>采购人在收到中标人递交的请款函且审批通过后10个工作日内，向中标人支付合同总金额30%的价款；中标人按照合同约定交货，并经采购人对合同中所有装备到货验收合格后（采购人签署到货验收合格报告），中标人在递交请款函且经审批通过后，提供全额有效发票及采购人签署验收合格报告给采购人，采购人在收到以上材料并完成结算审计后30天内向中标人支付至合同金额的100%。</w:t>
      </w:r>
      <w:bookmarkEnd w:id="8"/>
    </w:p>
    <w:p w14:paraId="3AFF0D21">
      <w:pPr>
        <w:spacing w:line="440" w:lineRule="exact"/>
        <w:ind w:firstLine="480" w:firstLineChars="200"/>
        <w:rPr>
          <w:sz w:val="24"/>
          <w:lang w:val="zh-CN"/>
        </w:rPr>
      </w:pPr>
      <w:r>
        <w:rPr>
          <w:rFonts w:hint="eastAsia"/>
          <w:sz w:val="24"/>
          <w:lang w:val="zh-CN"/>
        </w:rPr>
        <w:t>5.包装和运输：满足采购人要求。</w:t>
      </w:r>
    </w:p>
    <w:p w14:paraId="65A76D4C">
      <w:pPr>
        <w:spacing w:line="440" w:lineRule="exact"/>
        <w:ind w:firstLine="480" w:firstLineChars="200"/>
        <w:rPr>
          <w:sz w:val="24"/>
          <w:lang w:val="zh-CN"/>
        </w:rPr>
      </w:pPr>
      <w:r>
        <w:rPr>
          <w:rFonts w:hint="eastAsia"/>
          <w:sz w:val="24"/>
          <w:lang w:val="zh-CN"/>
        </w:rPr>
        <w:t>6.售后服务：</w:t>
      </w:r>
    </w:p>
    <w:p w14:paraId="6318F34B">
      <w:pPr>
        <w:spacing w:line="440" w:lineRule="exact"/>
        <w:ind w:firstLine="480" w:firstLineChars="200"/>
        <w:rPr>
          <w:sz w:val="24"/>
          <w:lang w:val="zh-CN"/>
        </w:rPr>
      </w:pPr>
      <w:r>
        <w:rPr>
          <w:rFonts w:hint="eastAsia"/>
          <w:sz w:val="24"/>
          <w:lang w:val="zh-CN"/>
        </w:rPr>
        <w:t>（1）供应商保证其自身具有销售、供货资格，不存在任何侵犯第三方销售资质的情况，包括不限于地区独家销售权，产品独家销售权等，且货物是通过合法渠道进货、全新且未使用过的，所有权没有任何瑕疵的（即不存在资产抵押或其他可能影响货物所有权的事宜），其质量、规格及技术特征应符合采购项目技术规格、参数的要求。</w:t>
      </w:r>
    </w:p>
    <w:p w14:paraId="4F3A79A8">
      <w:pPr>
        <w:spacing w:line="440" w:lineRule="exact"/>
        <w:ind w:firstLine="480" w:firstLineChars="200"/>
        <w:rPr>
          <w:sz w:val="24"/>
          <w:lang w:val="zh-CN"/>
        </w:rPr>
      </w:pPr>
      <w:r>
        <w:rPr>
          <w:rFonts w:hint="eastAsia"/>
          <w:sz w:val="24"/>
          <w:lang w:val="zh-CN"/>
        </w:rPr>
        <w:t>（2）供应商应于验收后向采购人提供项目各项详细验收报告和技术文件。技术文件包括完整的软、硬件技术资料（含纸介质和光电介质）。</w:t>
      </w:r>
    </w:p>
    <w:p w14:paraId="115A1413">
      <w:pPr>
        <w:spacing w:line="440" w:lineRule="exact"/>
        <w:ind w:firstLine="480" w:firstLineChars="200"/>
        <w:rPr>
          <w:sz w:val="24"/>
          <w:lang w:val="zh-CN"/>
        </w:rPr>
      </w:pPr>
      <w:r>
        <w:rPr>
          <w:rFonts w:hint="eastAsia"/>
          <w:sz w:val="24"/>
          <w:lang w:val="zh-CN"/>
        </w:rPr>
        <w:t>（3）质保期要求：</w:t>
      </w:r>
    </w:p>
    <w:p w14:paraId="47C0E1E9">
      <w:pPr>
        <w:spacing w:line="440" w:lineRule="exact"/>
        <w:ind w:firstLine="480" w:firstLineChars="200"/>
        <w:rPr>
          <w:sz w:val="24"/>
          <w:lang w:val="zh-CN"/>
        </w:rPr>
      </w:pPr>
      <w:r>
        <w:rPr>
          <w:rFonts w:hint="eastAsia"/>
          <w:sz w:val="24"/>
          <w:lang w:val="zh-CN"/>
        </w:rPr>
        <w:t>质保期内，投标人须开通24小时服务热线，提供7*24小时技术服务；采购人上报产品问题后</w:t>
      </w:r>
      <w:r>
        <w:rPr>
          <w:rFonts w:hint="eastAsia"/>
          <w:sz w:val="24"/>
        </w:rPr>
        <w:t>1</w:t>
      </w:r>
      <w:r>
        <w:rPr>
          <w:rFonts w:hint="eastAsia"/>
          <w:sz w:val="24"/>
          <w:lang w:val="zh-CN"/>
        </w:rPr>
        <w:t>小时内响应、48小时内上门服务，并在7天内修复，否则必须提供备用产品给采购人使用。同一产品、同一质量问题，连续两次维修仍无法正常使用，投标人必须予以更换同品牌、同型号全新产品，采购人不再支付额外任何费用。</w:t>
      </w:r>
    </w:p>
    <w:p w14:paraId="4DA78CA6">
      <w:pPr>
        <w:spacing w:line="440" w:lineRule="exact"/>
        <w:ind w:firstLine="480" w:firstLineChars="200"/>
        <w:rPr>
          <w:sz w:val="24"/>
          <w:lang w:val="zh-CN"/>
        </w:rPr>
      </w:pPr>
      <w:r>
        <w:rPr>
          <w:rFonts w:hint="eastAsia"/>
          <w:sz w:val="24"/>
          <w:lang w:val="zh-CN"/>
        </w:rPr>
        <w:t>质保期内，供应商负责对其提供的全部货物进行上门维修和维护，该费用包含在报价中，不得向采购人收取任何费用。自验收合格之日起一年内至少提供一次上门首保服务，该费用包含在报价中，不得向采购人另行收取任何费用。质保期内非采购人的人为原因而出现货物质量及安装问题，由供应商负责包修、包换或包退，并承担因此而产生的一切费用；包修、包换或包退的零部件等设备，从修、换后且验收合格之日起重新起算质保期。</w:t>
      </w:r>
    </w:p>
    <w:p w14:paraId="2FCB9073">
      <w:pPr>
        <w:spacing w:line="440" w:lineRule="exact"/>
        <w:ind w:firstLine="480" w:firstLineChars="200"/>
        <w:rPr>
          <w:sz w:val="24"/>
          <w:lang w:val="zh-CN"/>
        </w:rPr>
      </w:pPr>
      <w:r>
        <w:rPr>
          <w:rFonts w:hint="eastAsia"/>
          <w:sz w:val="24"/>
          <w:lang w:val="zh-CN"/>
        </w:rPr>
        <w:t>质保期内，投标人负责对其提供的系统及全部产品进行维修和软件维护、升级，不再向采购人及产品使用单位收取费用，但人为因素、自然因素（如火灾、雷击等）造成的故障除外。</w:t>
      </w:r>
    </w:p>
    <w:p w14:paraId="2F7164F1">
      <w:pPr>
        <w:spacing w:line="440" w:lineRule="exact"/>
        <w:ind w:firstLine="480" w:firstLineChars="200"/>
        <w:rPr>
          <w:sz w:val="24"/>
          <w:lang w:val="zh-CN"/>
        </w:rPr>
      </w:pPr>
      <w:r>
        <w:rPr>
          <w:rFonts w:hint="eastAsia"/>
          <w:sz w:val="24"/>
          <w:lang w:val="zh-CN"/>
        </w:rPr>
        <w:t>（4）保修期：质保期后，由供应商提供不少于</w:t>
      </w:r>
      <w:bookmarkStart w:id="9" w:name="_Hlk168611190"/>
      <w:r>
        <w:rPr>
          <w:rFonts w:hint="eastAsia"/>
          <w:sz w:val="24"/>
          <w:lang w:val="zh-CN"/>
        </w:rPr>
        <w:t>3</w:t>
      </w:r>
      <w:bookmarkEnd w:id="9"/>
      <w:r>
        <w:rPr>
          <w:rFonts w:hint="eastAsia"/>
          <w:sz w:val="24"/>
          <w:lang w:val="zh-CN"/>
        </w:rPr>
        <w:t>年的保修服务，该费用包含在投标报价中。在维修过程中供应商只收取材料成本费，不再收取额外服务费及其相关费用。如有下列情况之一则不属于以上约定的保修服务范围：</w:t>
      </w:r>
    </w:p>
    <w:p w14:paraId="2C3A513C">
      <w:pPr>
        <w:spacing w:line="440" w:lineRule="exact"/>
        <w:ind w:firstLine="480" w:firstLineChars="200"/>
        <w:rPr>
          <w:sz w:val="24"/>
          <w:lang w:val="zh-CN"/>
        </w:rPr>
      </w:pPr>
      <w:r>
        <w:rPr>
          <w:rFonts w:hint="eastAsia"/>
          <w:sz w:val="24"/>
          <w:lang w:val="zh-CN"/>
        </w:rPr>
        <w:t>①采购人不按照供应商提供的正确方法使用而引致货物故障损坏；</w:t>
      </w:r>
    </w:p>
    <w:p w14:paraId="544B42E9">
      <w:pPr>
        <w:spacing w:line="440" w:lineRule="exact"/>
        <w:ind w:firstLine="480" w:firstLineChars="200"/>
        <w:rPr>
          <w:sz w:val="24"/>
          <w:lang w:val="zh-CN"/>
        </w:rPr>
      </w:pPr>
      <w:r>
        <w:rPr>
          <w:rFonts w:hint="eastAsia"/>
          <w:sz w:val="24"/>
          <w:lang w:val="zh-CN"/>
        </w:rPr>
        <w:t>②采购人擅自改装货物；</w:t>
      </w:r>
    </w:p>
    <w:p w14:paraId="6652D5DC">
      <w:pPr>
        <w:spacing w:line="440" w:lineRule="exact"/>
        <w:ind w:firstLine="480" w:firstLineChars="200"/>
        <w:rPr>
          <w:sz w:val="24"/>
          <w:lang w:val="zh-CN"/>
        </w:rPr>
      </w:pPr>
      <w:r>
        <w:rPr>
          <w:rFonts w:hint="eastAsia"/>
          <w:sz w:val="24"/>
          <w:lang w:val="zh-CN"/>
        </w:rPr>
        <w:t>③各种人为因素或不可抗力事件造成的损坏。</w:t>
      </w:r>
    </w:p>
    <w:p w14:paraId="12E3445F">
      <w:pPr>
        <w:spacing w:line="440" w:lineRule="exact"/>
        <w:ind w:firstLine="480" w:firstLineChars="200"/>
        <w:rPr>
          <w:sz w:val="24"/>
          <w:lang w:val="zh-CN"/>
        </w:rPr>
      </w:pPr>
      <w:r>
        <w:rPr>
          <w:rFonts w:hint="eastAsia"/>
          <w:sz w:val="24"/>
          <w:lang w:val="zh-CN"/>
        </w:rPr>
        <w:t>（5）终身维护期：货物交付使用后中标人须以书面形式承诺维修服务，实行设备正常服役期内终身维护，继续提供维修、零配件供应等服务，提供终身维护期内的周转备品保障服务，人工保修费用计入合同总价，中标人只收取材料成本费。供应商必须提供7*24小时电话服务热线，保证在接到采购人故障报告电话后48小时内到达现场维修。如供应商未能及时响应，应向采购人支付违约金（标准：2000元/次，累计计算），且采购人有权委托第三方处理，第三方处理的费用由供应商承担。遇不可抗力，不能按规定到达维修地点的，应及时通知采购人并说明原因。终身维护期内，供应商应负责货物运行的稳定性。</w:t>
      </w:r>
    </w:p>
    <w:p w14:paraId="33C2B61F">
      <w:pPr>
        <w:spacing w:line="440" w:lineRule="exact"/>
        <w:ind w:firstLine="480" w:firstLineChars="200"/>
        <w:rPr>
          <w:sz w:val="24"/>
          <w:lang w:val="zh-CN"/>
        </w:rPr>
      </w:pPr>
      <w:r>
        <w:rPr>
          <w:rFonts w:hint="eastAsia"/>
          <w:sz w:val="24"/>
          <w:lang w:val="zh-CN"/>
        </w:rPr>
        <w:t>（6）保修期内，供应商应向采购人提供全寿命周期的主要耗损件、易损件及更换总成的目录和当年度价格清单，且保证供应价格符合市场价标准，如采购人向供应商单独订购零配件，供应商应给予采购人一定的优惠，零整比不得高于1.5。国产零配件的供应时间不得长于10天，进口零配件供应时间不得长于60天。</w:t>
      </w:r>
    </w:p>
    <w:p w14:paraId="4FD19349">
      <w:pPr>
        <w:spacing w:line="440" w:lineRule="exact"/>
        <w:ind w:firstLine="480" w:firstLineChars="200"/>
        <w:rPr>
          <w:sz w:val="24"/>
          <w:lang w:val="zh-CN"/>
        </w:rPr>
      </w:pPr>
      <w:r>
        <w:rPr>
          <w:rFonts w:hint="eastAsia"/>
          <w:sz w:val="24"/>
          <w:lang w:val="zh-CN"/>
        </w:rPr>
        <w:t>（7）供应商应建立缺陷产品召回制度，因货物发生质量问题需要成批召回维修的，供应商应及时通知采购人并积极协助办理有关手续，一切费用由供应商承担。如有重大质量问题，必须按照国内相关法律规定程序进行退货、更换等，并承担相关的违约责任。</w:t>
      </w:r>
    </w:p>
    <w:p w14:paraId="360C310F">
      <w:pPr>
        <w:spacing w:line="440" w:lineRule="exact"/>
        <w:ind w:firstLine="480" w:firstLineChars="200"/>
        <w:rPr>
          <w:sz w:val="24"/>
          <w:lang w:val="zh-CN"/>
        </w:rPr>
      </w:pPr>
      <w:r>
        <w:rPr>
          <w:rFonts w:hint="eastAsia"/>
          <w:sz w:val="24"/>
          <w:lang w:val="zh-CN"/>
        </w:rPr>
        <w:t>（8）依据法律规定或直观观察等日常生活经验能够直接确认的事实，可以直接作为判断是否有质量问题的依据，无需鉴定；确需鉴定的，优先选择国家消防装备质量检验检测中心进行质量鉴定，国家消防装备质量检验检测中心无法鉴定的，经采购人、投标人双方同意，可委托有相关资质的第三方检测机构进行质量鉴定。货物符合质量标准的，鉴定费用由采购人承担；货物不符合质量标准的，鉴定费用由投标人承担。检验报告货物不符合质量标准的，采购人有权追究供应商的责任。供应商拒绝送检的，采购人可判定货物不符合质量标准，不予通过验收并追究供应商责任。</w:t>
      </w:r>
    </w:p>
    <w:p w14:paraId="0CC2E89D">
      <w:pPr>
        <w:spacing w:line="440" w:lineRule="exact"/>
        <w:ind w:firstLine="480" w:firstLineChars="200"/>
        <w:rPr>
          <w:sz w:val="24"/>
          <w:lang w:val="zh-CN"/>
        </w:rPr>
      </w:pPr>
      <w:r>
        <w:rPr>
          <w:rFonts w:hint="eastAsia"/>
          <w:sz w:val="24"/>
          <w:lang w:val="zh-CN"/>
        </w:rPr>
        <w:t>（9）遇有重大灾害事故处置，要快速响应，选派素质好、业务精的人员进行应急供应、技术保障，提供技术支持、现场抢修等应急服务，采购人仅承担上述行动中产生的费用。</w:t>
      </w:r>
    </w:p>
    <w:p w14:paraId="2C62928C">
      <w:pPr>
        <w:spacing w:line="440" w:lineRule="exact"/>
        <w:ind w:firstLine="480" w:firstLineChars="200"/>
        <w:rPr>
          <w:sz w:val="24"/>
          <w:lang w:val="zh-CN"/>
        </w:rPr>
      </w:pPr>
      <w:r>
        <w:rPr>
          <w:rFonts w:hint="eastAsia"/>
          <w:sz w:val="24"/>
          <w:lang w:val="zh-CN"/>
        </w:rPr>
        <w:t>（10）技术成果归属：采购人与供应商在履行合同过程中，产生新的技术成果的（双方先应根据惯例常识判断是否为新产生，不能对判断结果达成一致的，则按照未获得相应知识产权权利证书的即为新产生的标准适用），其相应的知识产权归采购人所有。供应商不得在未征求采购人书面同意的情况下使用或者授权他人使用该技术成果及相关信息，否则相关收益归采购人所有，供应商应另向采购人承担违约责任，并赔偿采购人全部损失（包括且不限于采购人因供应商的违约行为致使需对第三方承担的不利责任等，以及采购人的相关维权费用，包括且不限于律师费（具体金额不超过采购人住所地律师收费指导标准的2倍）、诉讼费、保全费、担保费、鉴定费、交通费、公证费、误工费等）。</w:t>
      </w:r>
    </w:p>
    <w:p w14:paraId="5C9CD196">
      <w:pPr>
        <w:spacing w:line="440" w:lineRule="exact"/>
        <w:ind w:firstLine="480" w:firstLineChars="200"/>
        <w:rPr>
          <w:sz w:val="24"/>
          <w:lang w:val="zh-CN"/>
        </w:rPr>
      </w:pPr>
      <w:r>
        <w:rPr>
          <w:rFonts w:hint="eastAsia"/>
          <w:sz w:val="24"/>
          <w:lang w:val="zh-CN"/>
        </w:rPr>
        <w:t>7.违约责任和解决方式：</w:t>
      </w:r>
    </w:p>
    <w:p w14:paraId="07214156">
      <w:pPr>
        <w:spacing w:line="440" w:lineRule="exact"/>
        <w:ind w:firstLine="480" w:firstLineChars="200"/>
        <w:rPr>
          <w:sz w:val="24"/>
          <w:lang w:val="zh-CN"/>
        </w:rPr>
      </w:pPr>
      <w:r>
        <w:rPr>
          <w:rFonts w:hint="eastAsia"/>
          <w:sz w:val="24"/>
          <w:lang w:val="zh-CN"/>
        </w:rPr>
        <w:t>（1）采购人无正当理由拒收货物，经中标人书面催告后20个工作日内仍拒收货物的，每逾期1日，采购人向中标人偿付拒收货物价格的万分之五的违约金，违约金合计不超过合同总价5％。采购人无正当理由逾期60日或以上拒绝验收货物，视为验收合格。</w:t>
      </w:r>
    </w:p>
    <w:p w14:paraId="21D42B8E">
      <w:pPr>
        <w:spacing w:line="440" w:lineRule="exact"/>
        <w:ind w:firstLine="480" w:firstLineChars="200"/>
        <w:rPr>
          <w:sz w:val="24"/>
          <w:lang w:val="zh-CN"/>
        </w:rPr>
      </w:pPr>
      <w:r>
        <w:rPr>
          <w:rFonts w:hint="eastAsia"/>
          <w:sz w:val="24"/>
          <w:lang w:val="zh-CN"/>
        </w:rPr>
        <w:t>（2）中标人未能在交货期内交货，逾期不超过60日（含本数）的，以每逾期1日向采购人偿付未交付货物总价万分之五的标准计算违约金；中标人超过本合同约定的交货期60日（不含本数）仍未交货的，采购人有权视情况选择接受中标人交付的货物或选择解除合同，采购人选择接受中标人交付的货物的，中标人按前述标准向采购人支付违约金，违约金上限为未交付货物总价的5％；采购人选择解除合同的，中标人须在接到采购人解除合同通知（通知方式包括不限于书面、电话、微信、短信、邮件等）之日起10日内退回预付款，并支付合同未交付货物总价5%的违约金。逾期未付（包括退回款项及支付违约金）的，应承担利息（以LPR一年期利率的四倍计算）。如果上述赔偿金额仍不足以补偿采购人因中标人违约造成的损失，采购人有权进一步向中标人提出索赔。</w:t>
      </w:r>
    </w:p>
    <w:p w14:paraId="6397999C">
      <w:pPr>
        <w:spacing w:line="440" w:lineRule="exact"/>
        <w:ind w:firstLine="480" w:firstLineChars="200"/>
        <w:rPr>
          <w:sz w:val="24"/>
          <w:lang w:val="zh-CN"/>
        </w:rPr>
      </w:pPr>
      <w:r>
        <w:rPr>
          <w:rFonts w:hint="eastAsia"/>
          <w:sz w:val="24"/>
          <w:lang w:val="zh-CN"/>
        </w:rPr>
        <w:t>（3）中标人所交付的货物不符合合同规定，采购人有权拒收并要求中标人整改，整改后货物符合合同要求，采购人予以验收通过，整改导致超出合同约定交货期限的，由中标人按照本条中的第（2）项承担逾期交货责任。中标人拒绝整改或整改后的产品仍不符合要求，未能通过验收的，采购人有权解除合同（合同解除时间以通知发出到达对方为准，通知方式包括不限于书面、电话、微信、短信、邮件等）中标人须在接到采购人解除合同通知之日起10日内退回预付款，并支付合同未交付货物总价5%的违约金。逾期未付（包括退回款项及支付违约金）的，应承担利息（以LPR一年期利率的四倍计算）。如果上述赔偿金额仍不足以补偿采购人因中标人违约造成的损失，采购人有权进一步向中标人提出索赔。</w:t>
      </w:r>
    </w:p>
    <w:p w14:paraId="49ECEA43">
      <w:pPr>
        <w:spacing w:line="440" w:lineRule="exact"/>
        <w:ind w:firstLine="480" w:firstLineChars="200"/>
        <w:rPr>
          <w:sz w:val="24"/>
          <w:lang w:val="zh-CN"/>
        </w:rPr>
      </w:pPr>
      <w:r>
        <w:rPr>
          <w:rFonts w:hint="eastAsia"/>
          <w:sz w:val="24"/>
          <w:lang w:val="zh-CN"/>
        </w:rPr>
        <w:t>（4）在履行合同过程中，采购人发现中标人在采购过程中存在以虚假材料谋取中标、串通投标等违法行为时，采购人有权单方面解除合同，中标人应退还采购人已支付的费用，同时提请财政部门将中标人列入政府采购“黑名单”。</w:t>
      </w:r>
    </w:p>
    <w:p w14:paraId="20E3D818">
      <w:pPr>
        <w:spacing w:line="440" w:lineRule="exact"/>
        <w:ind w:firstLine="480" w:firstLineChars="200"/>
        <w:rPr>
          <w:sz w:val="24"/>
          <w:lang w:val="zh-CN"/>
        </w:rPr>
      </w:pPr>
      <w:r>
        <w:rPr>
          <w:rFonts w:hint="eastAsia"/>
          <w:sz w:val="24"/>
          <w:lang w:val="zh-CN"/>
        </w:rPr>
        <w:t>（5）如果因采购人原因，包括但不限于国家政策的变化、采购关联单位政策的调整等，导致中标人不能按时交货的，中标人实际交货时间应扣除因采购人原因所延误的时间，中标人的相关违约责任按扣除后的交货时间计算。</w:t>
      </w:r>
    </w:p>
    <w:p w14:paraId="5FE5DCB2">
      <w:pPr>
        <w:spacing w:line="440" w:lineRule="exact"/>
        <w:ind w:firstLine="480" w:firstLineChars="200"/>
        <w:rPr>
          <w:sz w:val="24"/>
          <w:lang w:val="zh-CN"/>
        </w:rPr>
      </w:pPr>
      <w:r>
        <w:rPr>
          <w:rFonts w:hint="eastAsia"/>
          <w:sz w:val="24"/>
          <w:lang w:val="zh-CN"/>
        </w:rPr>
        <w:t>（6）对于满足合同约定支付条件的，付款时间为采购人向政府采购支付部门提出支付申请的时间，不含政府财政支付部门审查的时间，如因政府财政支付流程导致的支付延期，采购人不承担责任，若采购人无正当理由延迟支付款项，经中标人书面催告后30个工作日仍不支付的，以应付未付款项为计算基数，按照中国人民银行授权全国银行间同业拆借中心公布的一年期贷款市场报价利率（LPR）为利率，计算逾期付款利息，逾期付款利息可以在中标人应承担的违约金或赔偿款中予以对冲抵扣，采购人逾期付款利息不超过本合同总金额的5%。</w:t>
      </w:r>
    </w:p>
    <w:p w14:paraId="1050798D">
      <w:pPr>
        <w:spacing w:line="440" w:lineRule="exact"/>
        <w:ind w:firstLine="480" w:firstLineChars="200"/>
        <w:rPr>
          <w:sz w:val="24"/>
          <w:lang w:val="zh-CN"/>
        </w:rPr>
      </w:pPr>
      <w:r>
        <w:rPr>
          <w:rFonts w:hint="eastAsia"/>
          <w:sz w:val="24"/>
          <w:lang w:val="zh-CN"/>
        </w:rPr>
        <w:t>（7）中标人不得部分或全部转让其应履行的合同项下义务或转包、分包给任何第三方（含中标人关联企业），否则采购人有权单方面解除合同，中标人应退还采购人已支付的费用，同时中标人赔偿合同总金额5%的违约金给采购人。</w:t>
      </w:r>
    </w:p>
    <w:p w14:paraId="7A53C460">
      <w:pPr>
        <w:spacing w:line="440" w:lineRule="exact"/>
        <w:ind w:firstLine="480" w:firstLineChars="200"/>
        <w:rPr>
          <w:sz w:val="24"/>
          <w:lang w:val="zh-CN"/>
        </w:rPr>
      </w:pPr>
      <w:r>
        <w:rPr>
          <w:rFonts w:hint="eastAsia"/>
          <w:sz w:val="24"/>
          <w:lang w:val="zh-CN"/>
        </w:rPr>
        <w:t>（8）对于因采购人原因导致变更、中止或者终止政府采购合同的，采购人应当依照合同约定对供应商受到的损失予以等价补偿。</w:t>
      </w:r>
    </w:p>
    <w:p w14:paraId="7AA192E1">
      <w:pPr>
        <w:spacing w:line="440" w:lineRule="exact"/>
        <w:ind w:firstLine="480" w:firstLineChars="200"/>
        <w:rPr>
          <w:sz w:val="24"/>
          <w:lang w:val="zh-CN"/>
        </w:rPr>
      </w:pPr>
      <w:r>
        <w:rPr>
          <w:rFonts w:hint="eastAsia"/>
          <w:sz w:val="24"/>
          <w:lang w:val="zh-CN"/>
        </w:rPr>
        <w:t>（9）中标人应按照本合同内约定的内容执行，如没有特别约定或约定未详尽，相应的违约责任或补充违约责任均为：采购人和中标人可协商解除合同，未支付的费用不予支付；中标人承担一切经济损失，同时另向采购人支付合同总金额5%的违约金。</w:t>
      </w:r>
    </w:p>
    <w:p w14:paraId="238CB342">
      <w:pPr>
        <w:spacing w:line="440" w:lineRule="exact"/>
        <w:ind w:firstLine="480" w:firstLineChars="200"/>
        <w:rPr>
          <w:sz w:val="24"/>
          <w:lang w:val="zh-CN"/>
        </w:rPr>
      </w:pPr>
      <w:r>
        <w:rPr>
          <w:rFonts w:hint="eastAsia"/>
          <w:sz w:val="24"/>
          <w:lang w:val="zh-CN"/>
        </w:rPr>
        <w:t>（10）履行本合同及组成部分（包括但不限于招标文件、补充协议等）过程中，发生中标人承担违约责任，应向采购人支付款项（包括但不限于退回预付款、支付违约金、承担利息等）情形，均为采购人有权在未付款项中扣除，或要求中标人另行支付。</w:t>
      </w:r>
    </w:p>
    <w:p w14:paraId="67C5A5A5">
      <w:pPr>
        <w:spacing w:line="440" w:lineRule="exact"/>
        <w:ind w:firstLine="480" w:firstLineChars="200"/>
        <w:rPr>
          <w:sz w:val="24"/>
          <w:lang w:val="zh-CN"/>
        </w:rPr>
      </w:pPr>
      <w:r>
        <w:rPr>
          <w:rFonts w:hint="eastAsia"/>
          <w:sz w:val="24"/>
          <w:lang w:val="zh-CN"/>
        </w:rPr>
        <w:t>（11）合同所称经济损失包括且不限于直接经济损失、合同顺利履行时可得的预期利益、因对方的违约行为致使需对第三方承担的不利责任以及因维权而支出的律师费（具体金额不超过采购人住所地律师收费指导标准的2倍）、诉讼费、保全费、担保费、鉴定费、交通费、公证费、误工费等相关费用。</w:t>
      </w:r>
    </w:p>
    <w:p w14:paraId="24708D66">
      <w:pPr>
        <w:spacing w:line="440" w:lineRule="exact"/>
        <w:ind w:firstLine="480" w:firstLineChars="200"/>
        <w:rPr>
          <w:sz w:val="24"/>
          <w:lang w:val="zh-CN"/>
        </w:rPr>
      </w:pPr>
      <w:r>
        <w:rPr>
          <w:rFonts w:hint="eastAsia"/>
          <w:sz w:val="24"/>
          <w:lang w:val="zh-CN"/>
        </w:rPr>
        <w:t>8.培训及技术服务要求</w:t>
      </w:r>
    </w:p>
    <w:p w14:paraId="0CED4F76">
      <w:pPr>
        <w:spacing w:line="440" w:lineRule="exact"/>
        <w:ind w:firstLine="480" w:firstLineChars="200"/>
        <w:rPr>
          <w:sz w:val="24"/>
          <w:lang w:val="zh-CN"/>
        </w:rPr>
      </w:pPr>
      <w:r>
        <w:rPr>
          <w:rFonts w:hint="eastAsia"/>
          <w:sz w:val="24"/>
          <w:lang w:val="zh-CN"/>
        </w:rPr>
        <w:t>（1）交货后，供应商为采购人提供操作及维护培训直至采购人掌握相应的技能为止，主要内容为货物的基本结构、性能、主要部件的构造及原理，日常使用操作、保养与管理，常见故障的排除，紧急情况的处理等，普通器材培训不少于0.5天，新型器材、特种器材培训时间不少于1天。培训地点主要在货物安装现场或按双方协商安排。培训后形成培训记录，记录应包括培训项目和参加人员等信息，并由双方签字存档。由此产生的所有费用由中标人承担。</w:t>
      </w:r>
    </w:p>
    <w:p w14:paraId="070E0756">
      <w:pPr>
        <w:spacing w:line="440" w:lineRule="exact"/>
        <w:ind w:firstLine="480" w:firstLineChars="200"/>
        <w:rPr>
          <w:sz w:val="24"/>
          <w:lang w:val="zh-CN"/>
        </w:rPr>
      </w:pPr>
      <w:r>
        <w:rPr>
          <w:rFonts w:hint="eastAsia"/>
          <w:sz w:val="24"/>
          <w:lang w:val="zh-CN"/>
        </w:rPr>
        <w:t>（2）供应商应建立质量跟踪档案，每半年不少于一次向采购人进行现场（或电话）回访，质保期内每年不少于一次巡检和培训，以保证货物的正常高效使用，并保存售后服务情况记录及采购人使用单位的反馈意见。</w:t>
      </w:r>
    </w:p>
    <w:p w14:paraId="403C1AD3">
      <w:pPr>
        <w:spacing w:line="440" w:lineRule="exact"/>
        <w:ind w:firstLine="480" w:firstLineChars="200"/>
        <w:rPr>
          <w:sz w:val="24"/>
          <w:lang w:val="zh-CN"/>
        </w:rPr>
      </w:pPr>
      <w:r>
        <w:rPr>
          <w:rFonts w:hint="eastAsia"/>
          <w:sz w:val="24"/>
        </w:rPr>
        <w:t>9</w:t>
      </w:r>
      <w:r>
        <w:rPr>
          <w:rFonts w:hint="eastAsia"/>
          <w:sz w:val="24"/>
          <w:lang w:val="zh-CN"/>
        </w:rPr>
        <w:t>.报价要求</w:t>
      </w:r>
    </w:p>
    <w:p w14:paraId="5CDDED6A">
      <w:pPr>
        <w:spacing w:line="440" w:lineRule="exact"/>
        <w:ind w:firstLine="480" w:firstLineChars="200"/>
        <w:rPr>
          <w:sz w:val="24"/>
          <w:lang w:val="zh-CN"/>
        </w:rPr>
      </w:pPr>
      <w:r>
        <w:rPr>
          <w:rFonts w:hint="eastAsia"/>
          <w:sz w:val="24"/>
          <w:lang w:val="zh-CN"/>
        </w:rPr>
        <w:t>投标总报价包括货物的全部价款、税费、包装、运输（含二次运输）、装卸、安装、调试、邀请采购人实地考察生产进度及出厂前验收、技术、指导、培训、咨询、服务、检测、保险的一切费用、验收合格交付使用之前以及技术和售后服务等其他各项有关费用。采购人不再另向中标人支付投标总报价之外的任何费用。</w:t>
      </w:r>
    </w:p>
    <w:p w14:paraId="48E9D067">
      <w:pPr>
        <w:spacing w:line="440" w:lineRule="exact"/>
        <w:ind w:firstLine="480" w:firstLineChars="200"/>
        <w:rPr>
          <w:sz w:val="24"/>
          <w:lang w:val="zh-CN"/>
        </w:rPr>
      </w:pPr>
      <w:r>
        <w:rPr>
          <w:rFonts w:hint="eastAsia"/>
          <w:sz w:val="24"/>
        </w:rPr>
        <w:t>10</w:t>
      </w:r>
      <w:r>
        <w:rPr>
          <w:rFonts w:hint="eastAsia"/>
          <w:sz w:val="24"/>
          <w:lang w:val="zh-CN"/>
        </w:rPr>
        <w:t>.合同签订</w:t>
      </w:r>
    </w:p>
    <w:p w14:paraId="4CECD18A">
      <w:pPr>
        <w:spacing w:line="440" w:lineRule="exact"/>
        <w:ind w:firstLine="480" w:firstLineChars="200"/>
        <w:rPr>
          <w:sz w:val="24"/>
          <w:lang w:val="zh-CN"/>
        </w:rPr>
      </w:pPr>
      <w:r>
        <w:rPr>
          <w:rFonts w:hint="eastAsia"/>
          <w:sz w:val="24"/>
          <w:lang w:val="zh-CN"/>
        </w:rPr>
        <w:t>本项目由采购人与中标人签订合同、办理款项支付并跟踪合同履行情况。签订合同时发现投标文件中出现前后不一致的情况，按有利于采购项目实施的原则。</w:t>
      </w:r>
    </w:p>
    <w:p w14:paraId="342F77F8">
      <w:pPr>
        <w:spacing w:line="440" w:lineRule="exact"/>
        <w:ind w:firstLine="480" w:firstLineChars="200"/>
        <w:rPr>
          <w:sz w:val="24"/>
          <w:lang w:val="zh-CN"/>
        </w:rPr>
      </w:pPr>
      <w:r>
        <w:rPr>
          <w:rFonts w:hint="eastAsia"/>
          <w:sz w:val="24"/>
        </w:rPr>
        <w:t>11</w:t>
      </w:r>
      <w:r>
        <w:rPr>
          <w:rFonts w:hint="eastAsia"/>
          <w:sz w:val="24"/>
          <w:lang w:val="zh-CN"/>
        </w:rPr>
        <w:t>.验收</w:t>
      </w:r>
    </w:p>
    <w:p w14:paraId="1C1A40F5">
      <w:pPr>
        <w:spacing w:line="440" w:lineRule="exact"/>
        <w:ind w:firstLine="480" w:firstLineChars="200"/>
        <w:rPr>
          <w:sz w:val="24"/>
          <w:lang w:val="zh-CN"/>
        </w:rPr>
      </w:pPr>
      <w:r>
        <w:rPr>
          <w:rFonts w:hint="eastAsia"/>
          <w:sz w:val="24"/>
          <w:lang w:val="zh-CN"/>
        </w:rPr>
        <w:t>验收办法及标准，参考相关国家标准、行业标准、地方标准或其他强制性标准及规范、投标文件承诺、采购文件要求。</w:t>
      </w:r>
    </w:p>
    <w:p w14:paraId="363AC501">
      <w:pPr>
        <w:spacing w:line="440" w:lineRule="exact"/>
        <w:ind w:firstLine="480" w:firstLineChars="200"/>
        <w:rPr>
          <w:sz w:val="24"/>
          <w:lang w:val="zh-CN"/>
        </w:rPr>
      </w:pPr>
      <w:r>
        <w:rPr>
          <w:rFonts w:hint="eastAsia"/>
          <w:sz w:val="24"/>
          <w:lang w:val="zh-CN"/>
        </w:rPr>
        <w:t>（1）验收方式主要为到货验收、节点验收、抽样送检等方式。</w:t>
      </w:r>
    </w:p>
    <w:p w14:paraId="07A49494">
      <w:pPr>
        <w:spacing w:line="440" w:lineRule="exact"/>
        <w:ind w:firstLine="480" w:firstLineChars="200"/>
        <w:rPr>
          <w:sz w:val="24"/>
          <w:lang w:val="zh-CN"/>
        </w:rPr>
      </w:pPr>
      <w:r>
        <w:rPr>
          <w:rFonts w:hint="eastAsia"/>
          <w:sz w:val="24"/>
          <w:lang w:val="zh-CN"/>
        </w:rPr>
        <w:t>（2）验收内容包括商务验收、技术验收。</w:t>
      </w:r>
    </w:p>
    <w:p w14:paraId="4FE4A3BE">
      <w:pPr>
        <w:spacing w:line="440" w:lineRule="exact"/>
        <w:ind w:firstLine="480" w:firstLineChars="200"/>
        <w:rPr>
          <w:sz w:val="24"/>
          <w:lang w:val="zh-CN"/>
        </w:rPr>
      </w:pPr>
      <w:r>
        <w:rPr>
          <w:rFonts w:hint="eastAsia"/>
          <w:sz w:val="24"/>
          <w:lang w:val="zh-CN"/>
        </w:rPr>
        <w:t>（3）商务要求履约情况是对照合同文本以及投标商务响应逐条核查评定。</w:t>
      </w:r>
    </w:p>
    <w:p w14:paraId="116A8FC9">
      <w:pPr>
        <w:spacing w:line="440" w:lineRule="exact"/>
        <w:ind w:firstLine="480" w:firstLineChars="200"/>
        <w:rPr>
          <w:sz w:val="24"/>
          <w:lang w:val="zh-CN"/>
        </w:rPr>
      </w:pPr>
      <w:r>
        <w:rPr>
          <w:rFonts w:hint="eastAsia"/>
          <w:sz w:val="24"/>
          <w:lang w:val="zh-CN"/>
        </w:rPr>
        <w:t>商务验收是对采购合同、投标文件约定的装备到货时间、规格、型号、配置、售后服务等信息进行核查评定。</w:t>
      </w:r>
    </w:p>
    <w:p w14:paraId="401ACABE">
      <w:pPr>
        <w:spacing w:line="440" w:lineRule="exact"/>
        <w:ind w:firstLine="480" w:firstLineChars="200"/>
        <w:rPr>
          <w:sz w:val="24"/>
          <w:lang w:val="zh-CN"/>
        </w:rPr>
      </w:pPr>
      <w:r>
        <w:rPr>
          <w:rFonts w:hint="eastAsia"/>
          <w:sz w:val="24"/>
          <w:lang w:val="zh-CN"/>
        </w:rPr>
        <w:t>（4）技术要求履约情况是对照投标技术响应以及检验报告原件开展资料验收、一致性验收和质量性能验收。</w:t>
      </w:r>
    </w:p>
    <w:p w14:paraId="5EE0A1C1">
      <w:pPr>
        <w:spacing w:line="440" w:lineRule="exact"/>
        <w:ind w:firstLine="480" w:firstLineChars="200"/>
        <w:rPr>
          <w:sz w:val="24"/>
          <w:lang w:val="zh-CN"/>
        </w:rPr>
      </w:pPr>
      <w:r>
        <w:rPr>
          <w:rFonts w:hint="eastAsia"/>
          <w:sz w:val="24"/>
          <w:lang w:val="zh-CN"/>
        </w:rPr>
        <w:t>资料验收是对到货装备的检验报告、票据、合格证等资料是否齐全，与采购合同、投标文件约定的信息是否一致、完整和真实有效进行核查评定。</w:t>
      </w:r>
    </w:p>
    <w:p w14:paraId="6AAA54EF">
      <w:pPr>
        <w:spacing w:line="440" w:lineRule="exact"/>
        <w:ind w:firstLine="480" w:firstLineChars="200"/>
        <w:rPr>
          <w:sz w:val="24"/>
          <w:lang w:val="zh-CN"/>
        </w:rPr>
      </w:pPr>
      <w:r>
        <w:rPr>
          <w:rFonts w:hint="eastAsia"/>
          <w:sz w:val="24"/>
          <w:lang w:val="zh-CN"/>
        </w:rPr>
        <w:t>一致性验收是对到货装备的名称、厂牌型号、数量规模、尺寸大小、性能参数等信息与采购合同、投标文件约定的信息是否一致，组成部件和相关资料是否齐全进行核查评定。</w:t>
      </w:r>
    </w:p>
    <w:p w14:paraId="23893D47">
      <w:pPr>
        <w:spacing w:line="440" w:lineRule="exact"/>
        <w:ind w:firstLine="480" w:firstLineChars="200"/>
        <w:rPr>
          <w:sz w:val="24"/>
          <w:lang w:val="zh-CN"/>
        </w:rPr>
      </w:pPr>
      <w:r>
        <w:rPr>
          <w:rFonts w:hint="eastAsia"/>
          <w:sz w:val="24"/>
          <w:lang w:val="zh-CN"/>
        </w:rPr>
        <w:t>质量性能验收是对到货装备的功能及性能指标与投标文件、检验报告等技术文本的要求进行核查评定，通过现场测量测试、检验报告佐证、抽样送检等方式开展。</w:t>
      </w:r>
    </w:p>
    <w:p w14:paraId="63008836">
      <w:pPr>
        <w:spacing w:line="440" w:lineRule="exact"/>
        <w:ind w:firstLine="480" w:firstLineChars="200"/>
        <w:rPr>
          <w:sz w:val="24"/>
          <w:lang w:val="zh-CN"/>
        </w:rPr>
      </w:pPr>
      <w:r>
        <w:rPr>
          <w:rFonts w:hint="eastAsia"/>
          <w:sz w:val="24"/>
          <w:lang w:val="zh-CN"/>
        </w:rPr>
        <w:t>（5）水力性能测试核对装备的流量、压力、真空度、温度、转速等性能指标（本项目货物若涉及则执行）。</w:t>
      </w:r>
    </w:p>
    <w:p w14:paraId="26765B08">
      <w:pPr>
        <w:spacing w:line="440" w:lineRule="exact"/>
        <w:ind w:firstLine="480" w:firstLineChars="200"/>
        <w:rPr>
          <w:sz w:val="24"/>
          <w:lang w:val="zh-CN"/>
        </w:rPr>
      </w:pPr>
      <w:r>
        <w:rPr>
          <w:rFonts w:hint="eastAsia"/>
          <w:sz w:val="24"/>
          <w:lang w:val="zh-CN"/>
        </w:rPr>
        <w:t>（6）批量采购的个人防护装备验收时组织抽样送有资质的机构检测（本项目货物若涉及则执行）。</w:t>
      </w:r>
    </w:p>
    <w:p w14:paraId="258F0C76">
      <w:pPr>
        <w:spacing w:line="440" w:lineRule="exact"/>
        <w:ind w:firstLine="480" w:firstLineChars="200"/>
        <w:rPr>
          <w:sz w:val="24"/>
          <w:lang w:val="zh-CN"/>
        </w:rPr>
      </w:pPr>
      <w:r>
        <w:rPr>
          <w:rFonts w:hint="eastAsia"/>
          <w:sz w:val="24"/>
          <w:lang w:val="zh-CN"/>
        </w:rPr>
        <w:t>抽样时，按留样封存数量和送检数量1:1的比例进行抽样，产品送第三方机构检测。</w:t>
      </w:r>
    </w:p>
    <w:p w14:paraId="7BDDDA70">
      <w:pPr>
        <w:spacing w:line="440" w:lineRule="exact"/>
        <w:ind w:firstLine="480" w:firstLineChars="200"/>
        <w:rPr>
          <w:sz w:val="24"/>
          <w:lang w:val="zh-CN"/>
        </w:rPr>
      </w:pPr>
      <w:r>
        <w:rPr>
          <w:rFonts w:hint="eastAsia"/>
          <w:sz w:val="24"/>
          <w:lang w:val="zh-CN"/>
        </w:rPr>
        <w:t>（7）采购人可委托相关单位或第三方专业机构、外部专家组等单位开展验收。</w:t>
      </w:r>
    </w:p>
    <w:p w14:paraId="0911F726">
      <w:pPr>
        <w:spacing w:line="440" w:lineRule="exact"/>
        <w:ind w:firstLine="480" w:firstLineChars="200"/>
        <w:rPr>
          <w:sz w:val="24"/>
          <w:lang w:val="zh-CN"/>
        </w:rPr>
      </w:pPr>
      <w:r>
        <w:rPr>
          <w:rFonts w:hint="eastAsia"/>
          <w:sz w:val="24"/>
          <w:lang w:val="zh-CN"/>
        </w:rPr>
        <w:t>第三方验收由被委托机构和委托单位共同制定验收方案实施。</w:t>
      </w:r>
    </w:p>
    <w:p w14:paraId="1143150B">
      <w:pPr>
        <w:spacing w:line="440" w:lineRule="exact"/>
        <w:ind w:firstLine="480" w:firstLineChars="200"/>
        <w:rPr>
          <w:sz w:val="24"/>
          <w:lang w:val="zh-CN"/>
        </w:rPr>
      </w:pPr>
      <w:r>
        <w:rPr>
          <w:rFonts w:hint="eastAsia"/>
          <w:sz w:val="24"/>
          <w:lang w:val="zh-CN"/>
        </w:rPr>
        <w:t>（8）商务要求履约情况和技术要求履约情况等均合格的方可综合评定为合格。</w:t>
      </w:r>
    </w:p>
    <w:p w14:paraId="558B0F3A">
      <w:pPr>
        <w:spacing w:line="440" w:lineRule="exact"/>
        <w:ind w:firstLine="480" w:firstLineChars="200"/>
        <w:rPr>
          <w:sz w:val="24"/>
          <w:lang w:val="zh-CN"/>
        </w:rPr>
      </w:pPr>
      <w:r>
        <w:rPr>
          <w:rFonts w:hint="eastAsia"/>
          <w:sz w:val="24"/>
          <w:lang w:val="zh-CN"/>
        </w:rPr>
        <w:t>（9）商务要求履约情况经投标商务响应核查通过方可评定为合格。</w:t>
      </w:r>
    </w:p>
    <w:p w14:paraId="52D401CE">
      <w:pPr>
        <w:spacing w:line="440" w:lineRule="exact"/>
        <w:ind w:firstLine="480" w:firstLineChars="200"/>
        <w:rPr>
          <w:sz w:val="24"/>
          <w:lang w:val="zh-CN"/>
        </w:rPr>
      </w:pPr>
      <w:r>
        <w:rPr>
          <w:rFonts w:hint="eastAsia"/>
          <w:sz w:val="24"/>
          <w:lang w:val="zh-CN"/>
        </w:rPr>
        <w:t>（10）技术要求履约情况经资料核查、一致性核查、质量性能核查通过的方可评定为合格。</w:t>
      </w:r>
    </w:p>
    <w:p w14:paraId="2A561E98">
      <w:pPr>
        <w:spacing w:line="440" w:lineRule="exact"/>
        <w:ind w:firstLine="480" w:firstLineChars="200"/>
        <w:rPr>
          <w:sz w:val="24"/>
          <w:lang w:val="zh-CN"/>
        </w:rPr>
      </w:pPr>
      <w:r>
        <w:rPr>
          <w:rFonts w:hint="eastAsia"/>
          <w:sz w:val="24"/>
          <w:lang w:val="zh-CN"/>
        </w:rPr>
        <w:t>（11）装备的功率、角度、尺寸、质量、容量等重要性能指标偏差不超过国家标准、行业标准规定误差范围的判定为合格。</w:t>
      </w:r>
    </w:p>
    <w:p w14:paraId="44E07021">
      <w:pPr>
        <w:spacing w:line="440" w:lineRule="exact"/>
        <w:ind w:firstLine="480" w:firstLineChars="200"/>
        <w:rPr>
          <w:sz w:val="24"/>
          <w:lang w:val="zh-CN"/>
        </w:rPr>
      </w:pPr>
      <w:r>
        <w:rPr>
          <w:rFonts w:hint="eastAsia"/>
          <w:sz w:val="24"/>
          <w:lang w:val="zh-CN"/>
        </w:rPr>
        <w:t>（12）对照投标文件的实际响应情况，验收中有1项指标（含本数）以上不合格的，综合评定为不合格。</w:t>
      </w:r>
    </w:p>
    <w:p w14:paraId="713A83B1">
      <w:pPr>
        <w:spacing w:line="440" w:lineRule="exact"/>
        <w:ind w:firstLine="480" w:firstLineChars="200"/>
        <w:rPr>
          <w:sz w:val="24"/>
          <w:lang w:val="zh-CN"/>
        </w:rPr>
      </w:pPr>
      <w:r>
        <w:rPr>
          <w:rFonts w:hint="eastAsia"/>
          <w:sz w:val="24"/>
          <w:lang w:val="zh-CN"/>
        </w:rPr>
        <w:t>送检样品技术指标不符合要求的，综合评定为不合格。</w:t>
      </w:r>
    </w:p>
    <w:p w14:paraId="6CDB181B">
      <w:pPr>
        <w:spacing w:line="440" w:lineRule="exact"/>
        <w:ind w:firstLine="480" w:firstLineChars="200"/>
        <w:rPr>
          <w:sz w:val="24"/>
          <w:lang w:val="zh-CN"/>
        </w:rPr>
      </w:pPr>
      <w:r>
        <w:rPr>
          <w:rFonts w:hint="eastAsia"/>
          <w:sz w:val="24"/>
          <w:lang w:val="zh-CN"/>
        </w:rPr>
        <w:t>水力性能测试不合格的，综合评定为不合格（本项目货物若涉及则执行）。</w:t>
      </w:r>
    </w:p>
    <w:p w14:paraId="2C38B8EC">
      <w:pPr>
        <w:spacing w:line="440" w:lineRule="exact"/>
        <w:ind w:firstLine="480" w:firstLineChars="200"/>
        <w:rPr>
          <w:sz w:val="24"/>
          <w:lang w:val="zh-CN"/>
        </w:rPr>
      </w:pPr>
      <w:r>
        <w:rPr>
          <w:rFonts w:hint="eastAsia"/>
          <w:sz w:val="24"/>
          <w:lang w:val="zh-CN"/>
        </w:rPr>
        <w:t>（13）综合评定不合格的装备，供应商整改完毕后应及时申请复验，复验程序参照初验程序进行。</w:t>
      </w:r>
    </w:p>
    <w:p w14:paraId="171B0BFB">
      <w:pPr>
        <w:spacing w:line="440" w:lineRule="exact"/>
        <w:ind w:firstLine="480" w:firstLineChars="200"/>
        <w:rPr>
          <w:sz w:val="24"/>
          <w:lang w:val="zh-CN"/>
        </w:rPr>
      </w:pPr>
      <w:r>
        <w:rPr>
          <w:rFonts w:hint="eastAsia"/>
          <w:sz w:val="24"/>
          <w:lang w:val="zh-CN"/>
        </w:rPr>
        <w:t>（14）装备交货期限前，确因国家政策调整或不可抗力等特殊情况造成逾期交货的，供应商应提供佐证材料报广西壮族自治区消防救援总队。</w:t>
      </w:r>
    </w:p>
    <w:p w14:paraId="03A75249">
      <w:pPr>
        <w:spacing w:line="440" w:lineRule="exact"/>
        <w:ind w:firstLine="480" w:firstLineChars="200"/>
        <w:rPr>
          <w:rFonts w:hint="eastAsia" w:ascii="宋体" w:hAnsi="宋体" w:cs="宋体"/>
          <w:color w:val="000000"/>
          <w:sz w:val="24"/>
        </w:rPr>
      </w:pPr>
      <w:r>
        <w:rPr>
          <w:rFonts w:hint="eastAsia"/>
          <w:sz w:val="24"/>
          <w:lang w:val="zh-CN"/>
        </w:rPr>
        <w:t>（15）装备验收过程中，采购人发现设备验收不合格的，中标人按采购人下达的整改通知进行整改，整改期不超过20个日历日，规定时间内无法完成整改或一次整改后仍未达到合同约定的技术要求，采购人有权单方解除合同并追究供应商违约责任。</w:t>
      </w:r>
      <w:bookmarkEnd w:id="7"/>
    </w:p>
    <w:p w14:paraId="450C738A">
      <w:pPr>
        <w:spacing w:line="440" w:lineRule="exact"/>
        <w:ind w:left="420" w:leftChars="200"/>
        <w:rPr>
          <w:rFonts w:hint="eastAsia" w:ascii="宋体" w:hAnsi="宋体" w:eastAsia="宋体" w:cs="宋体"/>
          <w:color w:val="000000"/>
          <w:sz w:val="28"/>
          <w:szCs w:val="28"/>
        </w:rPr>
      </w:pPr>
      <w:r>
        <w:rPr>
          <w:rFonts w:hint="eastAsia"/>
          <w:b/>
          <w:bCs/>
          <w:sz w:val="24"/>
        </w:rPr>
        <w:t>五、技术要求</w:t>
      </w:r>
    </w:p>
    <w:tbl>
      <w:tblPr>
        <w:tblStyle w:val="6"/>
        <w:tblW w:w="5664" w:type="pct"/>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180"/>
        <w:gridCol w:w="5105"/>
        <w:gridCol w:w="2271"/>
      </w:tblGrid>
      <w:tr w14:paraId="5A86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09B957BE">
            <w:pPr>
              <w:spacing w:line="360" w:lineRule="auto"/>
              <w:jc w:val="center"/>
              <w:rPr>
                <w:rFonts w:hint="eastAsia" w:ascii="宋体" w:hAnsi="宋体" w:eastAsia="宋体"/>
                <w:color w:val="auto"/>
                <w:szCs w:val="21"/>
              </w:rPr>
            </w:pPr>
            <w:r>
              <w:rPr>
                <w:rFonts w:hint="eastAsia" w:ascii="宋体" w:hAnsi="宋体" w:eastAsia="宋体"/>
                <w:color w:val="auto"/>
                <w:szCs w:val="21"/>
              </w:rPr>
              <w:t>序号</w:t>
            </w:r>
          </w:p>
        </w:tc>
        <w:tc>
          <w:tcPr>
            <w:tcW w:w="611" w:type="pct"/>
            <w:vAlign w:val="center"/>
          </w:tcPr>
          <w:p w14:paraId="2667C900">
            <w:pPr>
              <w:spacing w:line="360" w:lineRule="auto"/>
              <w:jc w:val="center"/>
              <w:rPr>
                <w:rFonts w:hint="eastAsia" w:ascii="宋体" w:hAnsi="宋体" w:eastAsia="宋体"/>
                <w:color w:val="auto"/>
                <w:szCs w:val="21"/>
              </w:rPr>
            </w:pPr>
            <w:r>
              <w:rPr>
                <w:rFonts w:hint="eastAsia" w:ascii="宋体" w:hAnsi="宋体" w:eastAsia="宋体"/>
                <w:color w:val="auto"/>
                <w:szCs w:val="21"/>
              </w:rPr>
              <w:t>装备名称</w:t>
            </w:r>
          </w:p>
        </w:tc>
        <w:tc>
          <w:tcPr>
            <w:tcW w:w="2643" w:type="pct"/>
            <w:vAlign w:val="center"/>
          </w:tcPr>
          <w:p w14:paraId="7696C895">
            <w:pPr>
              <w:spacing w:line="360" w:lineRule="auto"/>
              <w:jc w:val="center"/>
              <w:rPr>
                <w:rFonts w:hint="eastAsia" w:ascii="宋体" w:hAnsi="宋体" w:eastAsia="宋体"/>
                <w:color w:val="auto"/>
                <w:szCs w:val="21"/>
              </w:rPr>
            </w:pPr>
            <w:r>
              <w:rPr>
                <w:rFonts w:hint="eastAsia" w:ascii="宋体" w:hAnsi="宋体" w:eastAsia="宋体"/>
                <w:color w:val="auto"/>
                <w:szCs w:val="21"/>
              </w:rPr>
              <w:t>产品参数</w:t>
            </w:r>
          </w:p>
        </w:tc>
        <w:tc>
          <w:tcPr>
            <w:tcW w:w="1176" w:type="pct"/>
            <w:vAlign w:val="center"/>
          </w:tcPr>
          <w:p w14:paraId="1199F631">
            <w:pPr>
              <w:spacing w:line="360" w:lineRule="auto"/>
              <w:jc w:val="center"/>
              <w:rPr>
                <w:rFonts w:hint="eastAsia" w:ascii="宋体" w:hAnsi="宋体" w:eastAsia="宋体"/>
                <w:color w:val="auto"/>
                <w:szCs w:val="21"/>
              </w:rPr>
            </w:pPr>
            <w:r>
              <w:rPr>
                <w:rFonts w:hint="eastAsia" w:ascii="宋体" w:hAnsi="宋体" w:eastAsia="宋体"/>
                <w:color w:val="auto"/>
                <w:szCs w:val="21"/>
              </w:rPr>
              <w:t>参考图片</w:t>
            </w:r>
          </w:p>
        </w:tc>
      </w:tr>
      <w:tr w14:paraId="2BF0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70E66172">
            <w:pPr>
              <w:spacing w:line="360" w:lineRule="auto"/>
              <w:jc w:val="center"/>
              <w:rPr>
                <w:rFonts w:hint="eastAsia" w:ascii="宋体" w:hAnsi="宋体" w:eastAsia="宋体"/>
                <w:color w:val="auto"/>
                <w:szCs w:val="21"/>
              </w:rPr>
            </w:pPr>
            <w:r>
              <w:rPr>
                <w:rFonts w:hint="eastAsia" w:ascii="宋体" w:hAnsi="宋体" w:eastAsia="宋体"/>
                <w:color w:val="auto"/>
                <w:szCs w:val="21"/>
              </w:rPr>
              <w:t>1</w:t>
            </w:r>
          </w:p>
        </w:tc>
        <w:tc>
          <w:tcPr>
            <w:tcW w:w="611" w:type="pct"/>
            <w:vAlign w:val="center"/>
          </w:tcPr>
          <w:p w14:paraId="51354A86">
            <w:pPr>
              <w:spacing w:line="360" w:lineRule="auto"/>
              <w:jc w:val="center"/>
              <w:rPr>
                <w:rFonts w:hint="eastAsia" w:ascii="宋体" w:hAnsi="宋体" w:eastAsia="宋体"/>
                <w:color w:val="auto"/>
                <w:szCs w:val="21"/>
              </w:rPr>
            </w:pPr>
            <w:bookmarkStart w:id="10" w:name="OLE_LINK12"/>
            <w:r>
              <w:rPr>
                <w:rFonts w:hint="eastAsia" w:ascii="宋体" w:hAnsi="宋体" w:eastAsia="宋体"/>
                <w:color w:val="auto"/>
                <w:szCs w:val="21"/>
              </w:rPr>
              <w:t>高性能橡皮艇</w:t>
            </w:r>
            <w:bookmarkEnd w:id="10"/>
            <w:r>
              <w:rPr>
                <w:rFonts w:hint="eastAsia" w:ascii="宋体" w:hAnsi="宋体" w:eastAsia="宋体"/>
                <w:color w:val="auto"/>
                <w:szCs w:val="21"/>
              </w:rPr>
              <w:t>(不含船外机)</w:t>
            </w:r>
          </w:p>
        </w:tc>
        <w:tc>
          <w:tcPr>
            <w:tcW w:w="2643" w:type="pct"/>
          </w:tcPr>
          <w:p w14:paraId="0478D71E">
            <w:pPr>
              <w:spacing w:line="360" w:lineRule="auto"/>
              <w:jc w:val="left"/>
              <w:rPr>
                <w:rFonts w:hint="eastAsia" w:ascii="宋体" w:hAnsi="宋体" w:eastAsia="宋体"/>
                <w:color w:val="auto"/>
                <w:szCs w:val="21"/>
              </w:rPr>
            </w:pPr>
            <w:r>
              <w:rPr>
                <w:rFonts w:ascii="宋体" w:hAnsi="宋体" w:eastAsia="宋体"/>
                <w:color w:val="auto"/>
                <w:szCs w:val="21"/>
              </w:rPr>
              <w:t>1.</w:t>
            </w:r>
            <w:r>
              <w:rPr>
                <w:rFonts w:hint="eastAsia" w:ascii="宋体" w:hAnsi="宋体" w:eastAsia="宋体"/>
                <w:color w:val="auto"/>
                <w:szCs w:val="21"/>
              </w:rPr>
              <w:t>船体浮筒由防老化耐腐蚀，防紫外线、持久抗晒耐冻的</w:t>
            </w:r>
            <w:r>
              <w:rPr>
                <w:rFonts w:ascii="宋体" w:hAnsi="宋体" w:eastAsia="宋体"/>
                <w:color w:val="auto"/>
                <w:szCs w:val="21"/>
              </w:rPr>
              <w:t>PVC专用材料制成，浮筒采用热熔接工艺技术，具有高耐磨性、高稳定性、高气密性的优异性能。双尾锥抗沉降浮筒设计，有效防止快速转弯时产生倾覆，艇底M型设计具有良好的切水性能和风浪中行驶的稳定性。气室安装充排气阀和安全泄压阀。独立气室设计确保行驶中如有一个破损其他气室不受影响。</w:t>
            </w:r>
          </w:p>
          <w:p w14:paraId="2AE1449C">
            <w:pPr>
              <w:spacing w:line="360" w:lineRule="auto"/>
              <w:jc w:val="left"/>
              <w:rPr>
                <w:rFonts w:hint="eastAsia" w:ascii="宋体" w:hAnsi="宋体" w:eastAsia="宋体"/>
                <w:color w:val="auto"/>
                <w:szCs w:val="21"/>
              </w:rPr>
            </w:pPr>
            <w:r>
              <w:rPr>
                <w:rFonts w:ascii="宋体" w:hAnsi="宋体" w:eastAsia="宋体"/>
                <w:color w:val="auto"/>
                <w:szCs w:val="21"/>
              </w:rPr>
              <w:t>2.船</w:t>
            </w:r>
            <w:r>
              <w:rPr>
                <w:rFonts w:hint="eastAsia" w:ascii="宋体" w:hAnsi="宋体" w:eastAsia="宋体"/>
                <w:color w:val="auto"/>
                <w:szCs w:val="21"/>
              </w:rPr>
              <w:t>体总</w:t>
            </w:r>
            <w:r>
              <w:rPr>
                <w:rFonts w:ascii="宋体" w:hAnsi="宋体" w:eastAsia="宋体"/>
                <w:color w:val="auto"/>
                <w:szCs w:val="21"/>
              </w:rPr>
              <w:t>长</w:t>
            </w:r>
            <w:r>
              <w:rPr>
                <w:rFonts w:hint="eastAsia" w:ascii="宋体" w:hAnsi="宋体" w:eastAsia="宋体"/>
                <w:color w:val="auto"/>
                <w:szCs w:val="21"/>
              </w:rPr>
              <w:t>≤4米</w:t>
            </w:r>
            <w:r>
              <w:rPr>
                <w:rFonts w:ascii="宋体" w:hAnsi="宋体" w:eastAsia="宋体"/>
                <w:color w:val="auto"/>
                <w:szCs w:val="21"/>
              </w:rPr>
              <w:t>，船</w:t>
            </w:r>
            <w:r>
              <w:rPr>
                <w:rFonts w:hint="eastAsia" w:ascii="宋体" w:hAnsi="宋体" w:eastAsia="宋体"/>
                <w:color w:val="auto"/>
                <w:szCs w:val="21"/>
              </w:rPr>
              <w:t>体总</w:t>
            </w:r>
            <w:r>
              <w:rPr>
                <w:rFonts w:ascii="宋体" w:hAnsi="宋体" w:eastAsia="宋体"/>
                <w:color w:val="auto"/>
                <w:szCs w:val="21"/>
              </w:rPr>
              <w:t>宽</w:t>
            </w:r>
            <w:r>
              <w:rPr>
                <w:rFonts w:hint="eastAsia" w:ascii="宋体" w:hAnsi="宋体" w:eastAsia="宋体"/>
                <w:color w:val="auto"/>
                <w:szCs w:val="21"/>
              </w:rPr>
              <w:t>≤1</w:t>
            </w:r>
            <w:r>
              <w:rPr>
                <w:rFonts w:ascii="宋体" w:hAnsi="宋体" w:eastAsia="宋体"/>
                <w:color w:val="auto"/>
                <w:szCs w:val="21"/>
              </w:rPr>
              <w:t>.9</w:t>
            </w:r>
            <w:r>
              <w:rPr>
                <w:rFonts w:hint="eastAsia" w:ascii="宋体" w:hAnsi="宋体" w:eastAsia="宋体"/>
                <w:color w:val="auto"/>
                <w:szCs w:val="21"/>
              </w:rPr>
              <w:t>米</w:t>
            </w:r>
            <w:r>
              <w:rPr>
                <w:rFonts w:ascii="宋体" w:hAnsi="宋体" w:eastAsia="宋体"/>
                <w:color w:val="auto"/>
                <w:szCs w:val="21"/>
              </w:rPr>
              <w:t>，艉板高度</w:t>
            </w:r>
            <w:r>
              <w:rPr>
                <w:rFonts w:hint="eastAsia" w:ascii="宋体" w:hAnsi="宋体" w:eastAsia="宋体"/>
                <w:color w:val="auto"/>
                <w:szCs w:val="21"/>
              </w:rPr>
              <w:t>≤0</w:t>
            </w:r>
            <w:r>
              <w:rPr>
                <w:rFonts w:ascii="宋体" w:hAnsi="宋体" w:eastAsia="宋体"/>
                <w:color w:val="auto"/>
                <w:szCs w:val="21"/>
              </w:rPr>
              <w:t>.4</w:t>
            </w:r>
            <w:r>
              <w:rPr>
                <w:rFonts w:hint="eastAsia" w:ascii="宋体" w:hAnsi="宋体" w:eastAsia="宋体"/>
                <w:color w:val="auto"/>
                <w:szCs w:val="21"/>
              </w:rPr>
              <w:t>米</w:t>
            </w:r>
            <w:r>
              <w:rPr>
                <w:rFonts w:ascii="宋体" w:hAnsi="宋体" w:eastAsia="宋体"/>
                <w:color w:val="auto"/>
                <w:szCs w:val="21"/>
              </w:rPr>
              <w:t>。</w:t>
            </w:r>
          </w:p>
          <w:p w14:paraId="1F11DCAE">
            <w:pPr>
              <w:spacing w:line="360" w:lineRule="auto"/>
              <w:jc w:val="left"/>
              <w:rPr>
                <w:rFonts w:hint="eastAsia"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.气囊数3+3+2个，结构:船底“V”型充气拉丝底板</w:t>
            </w:r>
            <w:r>
              <w:rPr>
                <w:rFonts w:hint="eastAsia" w:ascii="宋体" w:hAnsi="宋体" w:eastAsia="宋体"/>
                <w:color w:val="auto"/>
                <w:szCs w:val="21"/>
              </w:rPr>
              <w:t>，“M”型艇底。</w:t>
            </w:r>
          </w:p>
          <w:p w14:paraId="0B4BC80B">
            <w:pPr>
              <w:spacing w:line="360" w:lineRule="auto"/>
              <w:jc w:val="left"/>
              <w:rPr>
                <w:rFonts w:hint="eastAsia"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.型深≥0.35</w:t>
            </w:r>
            <w:r>
              <w:rPr>
                <w:rFonts w:hint="eastAsia" w:ascii="宋体" w:hAnsi="宋体" w:eastAsia="宋体"/>
                <w:color w:val="auto"/>
                <w:szCs w:val="21"/>
              </w:rPr>
              <w:t>米</w:t>
            </w:r>
            <w:r>
              <w:rPr>
                <w:rFonts w:ascii="宋体" w:hAnsi="宋体" w:eastAsia="宋体"/>
                <w:color w:val="auto"/>
                <w:szCs w:val="21"/>
              </w:rPr>
              <w:t>，满载排水量≥900KG。</w:t>
            </w:r>
          </w:p>
          <w:p w14:paraId="754616C0">
            <w:pPr>
              <w:spacing w:line="360" w:lineRule="auto"/>
              <w:jc w:val="left"/>
              <w:rPr>
                <w:rFonts w:hint="eastAsia"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.艇身材质：PVC夹网材质，拉伸强度≥3300N，拉断伸长率≤45%，顶破强力＞8000N，磨损量≤0.5cm³。</w:t>
            </w:r>
          </w:p>
          <w:p w14:paraId="1CE3ABE7">
            <w:pPr>
              <w:spacing w:line="360" w:lineRule="auto"/>
              <w:jc w:val="left"/>
              <w:rPr>
                <w:rFonts w:hint="eastAsia"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.船体结构：底板为一体式三气室拉丝底板。底部水刀前段为坡面设计。</w:t>
            </w:r>
          </w:p>
          <w:p w14:paraId="654682F9">
            <w:pPr>
              <w:spacing w:line="360" w:lineRule="auto"/>
              <w:jc w:val="left"/>
              <w:rPr>
                <w:rFonts w:hint="eastAsia" w:ascii="宋体" w:hAnsi="宋体" w:eastAsia="宋体"/>
                <w:color w:val="auto"/>
                <w:szCs w:val="21"/>
              </w:rPr>
            </w:pPr>
            <w:r>
              <w:rPr>
                <w:rFonts w:hint="eastAsia" w:ascii="宋体" w:hAnsi="宋体" w:eastAsia="宋体"/>
                <w:color w:val="auto"/>
                <w:szCs w:val="21"/>
              </w:rPr>
              <w:t>7</w:t>
            </w:r>
            <w:r>
              <w:rPr>
                <w:rFonts w:ascii="宋体" w:hAnsi="宋体" w:eastAsia="宋体"/>
                <w:color w:val="auto"/>
                <w:szCs w:val="21"/>
              </w:rPr>
              <w:t>.浮筒采用热焊接技术，接缝处无破坏、无亮光。</w:t>
            </w:r>
          </w:p>
          <w:p w14:paraId="5D1B844A">
            <w:pPr>
              <w:spacing w:line="360" w:lineRule="auto"/>
              <w:jc w:val="left"/>
              <w:rPr>
                <w:rFonts w:hint="eastAsia" w:ascii="宋体" w:hAnsi="宋体" w:eastAsia="宋体"/>
                <w:color w:val="auto"/>
                <w:szCs w:val="21"/>
              </w:rPr>
            </w:pPr>
            <w:r>
              <w:rPr>
                <w:rFonts w:hint="eastAsia" w:ascii="宋体" w:hAnsi="宋体" w:eastAsia="宋体"/>
                <w:color w:val="auto"/>
                <w:szCs w:val="21"/>
              </w:rPr>
              <w:t>▲8</w:t>
            </w:r>
            <w:r>
              <w:rPr>
                <w:rFonts w:ascii="宋体" w:hAnsi="宋体" w:eastAsia="宋体"/>
                <w:color w:val="auto"/>
                <w:szCs w:val="21"/>
              </w:rPr>
              <w:t>.满载状态，船艇各气囊加压至1.1倍额定压力后静置30min，无异常。</w:t>
            </w:r>
          </w:p>
          <w:p w14:paraId="03AEF210">
            <w:pPr>
              <w:spacing w:line="360" w:lineRule="auto"/>
              <w:jc w:val="left"/>
              <w:rPr>
                <w:rFonts w:hint="eastAsia" w:ascii="宋体" w:hAnsi="宋体" w:eastAsia="宋体"/>
                <w:color w:val="auto"/>
                <w:szCs w:val="21"/>
              </w:rPr>
            </w:pPr>
            <w:r>
              <w:rPr>
                <w:rFonts w:hint="eastAsia" w:ascii="宋体" w:hAnsi="宋体" w:eastAsia="宋体"/>
                <w:color w:val="auto"/>
                <w:szCs w:val="21"/>
              </w:rPr>
              <w:t>▲9</w:t>
            </w:r>
            <w:r>
              <w:rPr>
                <w:rFonts w:ascii="宋体" w:hAnsi="宋体" w:eastAsia="宋体"/>
                <w:color w:val="auto"/>
                <w:szCs w:val="21"/>
              </w:rPr>
              <w:t>.空载状态，浮筒额定压力充气至0.025Mpa后，静置60min后剩余压力为0.025Mpa；空载状态，龙骨额定压力充气至0.035Mpa后，静置60min后剩余压力为0.035Mpa。</w:t>
            </w:r>
          </w:p>
          <w:p w14:paraId="698907DB">
            <w:pPr>
              <w:spacing w:line="360" w:lineRule="auto"/>
              <w:jc w:val="left"/>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0.安全及性能要求：静态稳性≤13°，干舷≥0.3</w:t>
            </w:r>
            <w:r>
              <w:rPr>
                <w:rFonts w:hint="eastAsia" w:ascii="宋体" w:hAnsi="宋体" w:eastAsia="宋体"/>
                <w:color w:val="auto"/>
                <w:szCs w:val="21"/>
              </w:rPr>
              <w:t>米</w:t>
            </w:r>
            <w:r>
              <w:rPr>
                <w:rFonts w:ascii="宋体" w:hAnsi="宋体" w:eastAsia="宋体"/>
                <w:color w:val="auto"/>
                <w:szCs w:val="21"/>
              </w:rPr>
              <w:t>。</w:t>
            </w:r>
          </w:p>
          <w:p w14:paraId="48FF57AA">
            <w:pPr>
              <w:spacing w:line="360" w:lineRule="auto"/>
              <w:jc w:val="left"/>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1.空载状态，排出500L水所用时间≤105s。</w:t>
            </w:r>
          </w:p>
          <w:p w14:paraId="06D2FF4F">
            <w:pPr>
              <w:spacing w:line="360" w:lineRule="auto"/>
              <w:jc w:val="left"/>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2.载重400kg时，航速≥33km/h；空载状态，航速≥39km/h。</w:t>
            </w:r>
          </w:p>
          <w:p w14:paraId="6799386A">
            <w:pPr>
              <w:spacing w:line="360" w:lineRule="auto"/>
              <w:jc w:val="left"/>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3.空载状态，航速12km/h，左右回转直径均≤5m。</w:t>
            </w:r>
          </w:p>
          <w:p w14:paraId="7C16159E">
            <w:pPr>
              <w:spacing w:line="360" w:lineRule="auto"/>
              <w:jc w:val="left"/>
              <w:rPr>
                <w:rFonts w:hint="eastAsia" w:ascii="宋体" w:hAnsi="宋体" w:eastAsia="宋体"/>
                <w:color w:val="auto"/>
                <w:szCs w:val="21"/>
              </w:rPr>
            </w:pPr>
            <w:r>
              <w:rPr>
                <w:rFonts w:ascii="宋体" w:hAnsi="宋体" w:eastAsia="宋体"/>
                <w:color w:val="auto"/>
                <w:szCs w:val="21"/>
              </w:rPr>
              <w:t>14.艇身配置：配备可连接G5/8标准接口气瓶的高压充气管一根，管体配备电子显示屏和0.3bar、0.6bar两个减压阀（显示、减压均为艇内回流压力）；艇身安装3M防水反光条≥8处；翻船自救辅助绳包；高密闭防水拉链式储存包一个；艉板上内侧配备工具收纳包；船桨一副；打气泵一个；船包一个。</w:t>
            </w:r>
          </w:p>
          <w:p w14:paraId="764849CD">
            <w:pPr>
              <w:spacing w:line="360" w:lineRule="auto"/>
              <w:jc w:val="left"/>
              <w:rPr>
                <w:rFonts w:hint="eastAsia" w:ascii="宋体" w:hAnsi="宋体" w:eastAsia="宋体"/>
                <w:color w:val="auto"/>
                <w:szCs w:val="21"/>
              </w:rPr>
            </w:pPr>
            <w:r>
              <w:rPr>
                <w:rFonts w:ascii="宋体" w:hAnsi="宋体" w:eastAsia="宋体"/>
                <w:color w:val="auto"/>
                <w:szCs w:val="21"/>
              </w:rPr>
              <w:t>15.</w:t>
            </w:r>
            <w:r>
              <w:rPr>
                <w:rFonts w:hint="eastAsia" w:ascii="宋体" w:hAnsi="宋体" w:eastAsia="宋体"/>
                <w:color w:val="auto"/>
                <w:szCs w:val="21"/>
                <w:lang w:val="en-US" w:eastAsia="zh-CN"/>
              </w:rPr>
              <w:t>以上“</w:t>
            </w:r>
            <w:r>
              <w:rPr>
                <w:rFonts w:hint="eastAsia" w:ascii="宋体" w:hAnsi="宋体" w:eastAsia="宋体"/>
                <w:color w:val="auto"/>
                <w:szCs w:val="21"/>
              </w:rPr>
              <w:t>▲</w:t>
            </w:r>
            <w:r>
              <w:rPr>
                <w:rFonts w:hint="eastAsia" w:ascii="宋体" w:hAnsi="宋体" w:eastAsia="宋体"/>
                <w:color w:val="auto"/>
                <w:szCs w:val="21"/>
                <w:lang w:eastAsia="zh-CN"/>
              </w:rPr>
              <w:t>”</w:t>
            </w:r>
            <w:r>
              <w:rPr>
                <w:rFonts w:hint="eastAsia" w:ascii="宋体" w:hAnsi="宋体" w:eastAsia="宋体"/>
                <w:color w:val="auto"/>
                <w:szCs w:val="21"/>
                <w:lang w:val="en-US" w:eastAsia="zh-CN"/>
              </w:rPr>
              <w:t>条款需</w:t>
            </w:r>
            <w:r>
              <w:rPr>
                <w:rFonts w:hint="eastAsia" w:ascii="宋体" w:hAnsi="宋体" w:eastAsia="宋体"/>
                <w:color w:val="auto"/>
                <w:szCs w:val="21"/>
              </w:rPr>
              <w:t>提供国家消防装备质量检验检测中心或其他国家认可的权威检验机构出具的检测报告复印件。</w:t>
            </w:r>
          </w:p>
        </w:tc>
        <w:tc>
          <w:tcPr>
            <w:tcW w:w="1176" w:type="pct"/>
            <w:vAlign w:val="center"/>
          </w:tcPr>
          <w:p w14:paraId="4E4443F8">
            <w:pPr>
              <w:spacing w:line="360" w:lineRule="auto"/>
              <w:jc w:val="center"/>
              <w:rPr>
                <w:rFonts w:hint="eastAsia" w:ascii="宋体" w:hAnsi="宋体" w:eastAsia="宋体"/>
                <w:color w:val="auto"/>
                <w:szCs w:val="21"/>
              </w:rPr>
            </w:pPr>
            <w:r>
              <w:rPr>
                <w:rFonts w:ascii="宋体" w:hAnsi="宋体" w:eastAsia="宋体"/>
                <w:color w:val="auto"/>
                <w:szCs w:val="21"/>
              </w:rPr>
              <w:drawing>
                <wp:inline distT="0" distB="0" distL="0" distR="0">
                  <wp:extent cx="1384935" cy="1039495"/>
                  <wp:effectExtent l="0" t="0" r="5715" b="825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96766" cy="1047995"/>
                          </a:xfrm>
                          <a:prstGeom prst="rect">
                            <a:avLst/>
                          </a:prstGeom>
                          <a:noFill/>
                          <a:ln>
                            <a:noFill/>
                          </a:ln>
                        </pic:spPr>
                      </pic:pic>
                    </a:graphicData>
                  </a:graphic>
                </wp:inline>
              </w:drawing>
            </w:r>
          </w:p>
        </w:tc>
      </w:tr>
      <w:tr w14:paraId="32CF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3F225165">
            <w:pPr>
              <w:spacing w:line="360" w:lineRule="auto"/>
              <w:jc w:val="center"/>
              <w:rPr>
                <w:rFonts w:hint="eastAsia" w:ascii="宋体" w:hAnsi="宋体" w:eastAsia="宋体"/>
                <w:color w:val="auto"/>
                <w:szCs w:val="21"/>
              </w:rPr>
            </w:pPr>
            <w:r>
              <w:rPr>
                <w:rFonts w:hint="eastAsia" w:ascii="宋体" w:hAnsi="宋体" w:eastAsia="宋体"/>
                <w:color w:val="auto"/>
                <w:szCs w:val="21"/>
              </w:rPr>
              <w:t>2</w:t>
            </w:r>
          </w:p>
        </w:tc>
        <w:tc>
          <w:tcPr>
            <w:tcW w:w="611" w:type="pct"/>
            <w:vAlign w:val="center"/>
          </w:tcPr>
          <w:p w14:paraId="229952E7">
            <w:pPr>
              <w:spacing w:line="360" w:lineRule="auto"/>
              <w:jc w:val="center"/>
              <w:rPr>
                <w:rFonts w:hint="eastAsia" w:ascii="宋体" w:hAnsi="宋体" w:eastAsia="宋体"/>
                <w:color w:val="auto"/>
                <w:szCs w:val="21"/>
              </w:rPr>
            </w:pPr>
            <w:r>
              <w:rPr>
                <w:rFonts w:hint="eastAsia" w:ascii="宋体" w:hAnsi="宋体" w:eastAsia="宋体"/>
                <w:color w:val="auto"/>
                <w:szCs w:val="21"/>
              </w:rPr>
              <w:t>船外机</w:t>
            </w:r>
          </w:p>
        </w:tc>
        <w:tc>
          <w:tcPr>
            <w:tcW w:w="2643" w:type="pct"/>
            <w:vAlign w:val="center"/>
          </w:tcPr>
          <w:p w14:paraId="6F0E3F22">
            <w:pPr>
              <w:numPr>
                <w:ilvl w:val="0"/>
                <w:numId w:val="1"/>
              </w:numPr>
              <w:spacing w:line="360" w:lineRule="auto"/>
              <w:jc w:val="left"/>
              <w:rPr>
                <w:rFonts w:hint="eastAsia" w:ascii="宋体" w:hAnsi="宋体" w:eastAsia="宋体"/>
                <w:color w:val="auto"/>
                <w:szCs w:val="21"/>
              </w:rPr>
            </w:pPr>
            <w:r>
              <w:rPr>
                <w:rFonts w:hint="eastAsia" w:ascii="宋体" w:hAnsi="宋体" w:eastAsia="宋体"/>
                <w:color w:val="auto"/>
                <w:szCs w:val="21"/>
              </w:rPr>
              <w:t>输出功率≥22.1km；</w:t>
            </w:r>
          </w:p>
          <w:p w14:paraId="1098E5AE">
            <w:pPr>
              <w:spacing w:line="360" w:lineRule="auto"/>
              <w:jc w:val="left"/>
              <w:rPr>
                <w:rFonts w:hint="eastAsia" w:ascii="宋体" w:hAnsi="宋体" w:eastAsia="宋体"/>
                <w:color w:val="auto"/>
                <w:szCs w:val="21"/>
              </w:rPr>
            </w:pPr>
            <w:r>
              <w:rPr>
                <w:rFonts w:hint="eastAsia" w:ascii="宋体" w:hAnsi="宋体" w:eastAsia="宋体"/>
                <w:color w:val="auto"/>
                <w:szCs w:val="21"/>
              </w:rPr>
              <w:t>2.转速(转/分)：≥4500；</w:t>
            </w:r>
          </w:p>
          <w:p w14:paraId="54AFEE18">
            <w:pPr>
              <w:spacing w:line="360" w:lineRule="auto"/>
              <w:jc w:val="left"/>
              <w:rPr>
                <w:rFonts w:hint="eastAsia" w:ascii="宋体" w:hAnsi="宋体" w:eastAsia="宋体"/>
                <w:color w:val="auto"/>
                <w:szCs w:val="21"/>
              </w:rPr>
            </w:pPr>
            <w:r>
              <w:rPr>
                <w:rFonts w:hint="eastAsia" w:ascii="宋体" w:hAnsi="宋体" w:eastAsia="宋体"/>
                <w:color w:val="auto"/>
                <w:szCs w:val="21"/>
              </w:rPr>
              <w:t>3.排气量(立方厘米)：≥490；</w:t>
            </w:r>
          </w:p>
          <w:p w14:paraId="7C4DFD29">
            <w:pPr>
              <w:spacing w:line="360" w:lineRule="auto"/>
              <w:jc w:val="left"/>
              <w:rPr>
                <w:rFonts w:hint="eastAsia" w:ascii="宋体" w:hAnsi="宋体" w:eastAsia="宋体"/>
                <w:color w:val="auto"/>
                <w:szCs w:val="21"/>
              </w:rPr>
            </w:pPr>
            <w:r>
              <w:rPr>
                <w:rFonts w:hint="eastAsia" w:ascii="宋体" w:hAnsi="宋体" w:eastAsia="宋体"/>
                <w:color w:val="auto"/>
                <w:szCs w:val="21"/>
              </w:rPr>
              <w:t>4.最大油耗：≤12 L/h；</w:t>
            </w:r>
          </w:p>
          <w:p w14:paraId="56F6040E">
            <w:pPr>
              <w:spacing w:line="360" w:lineRule="auto"/>
              <w:jc w:val="left"/>
              <w:rPr>
                <w:rFonts w:hint="eastAsia" w:ascii="宋体" w:hAnsi="宋体" w:eastAsia="宋体"/>
                <w:color w:val="auto"/>
                <w:szCs w:val="21"/>
              </w:rPr>
            </w:pPr>
            <w:r>
              <w:rPr>
                <w:rFonts w:hint="eastAsia" w:ascii="宋体" w:hAnsi="宋体" w:eastAsia="宋体"/>
                <w:color w:val="auto"/>
                <w:szCs w:val="21"/>
              </w:rPr>
              <w:t>5.缸径x行程(毫米)：≥70x60；</w:t>
            </w:r>
          </w:p>
          <w:p w14:paraId="37067829">
            <w:pPr>
              <w:spacing w:line="360" w:lineRule="auto"/>
              <w:jc w:val="left"/>
              <w:rPr>
                <w:rFonts w:hint="eastAsia" w:ascii="宋体" w:hAnsi="宋体" w:eastAsia="宋体"/>
                <w:color w:val="auto"/>
                <w:szCs w:val="21"/>
              </w:rPr>
            </w:pPr>
            <w:r>
              <w:rPr>
                <w:rFonts w:hint="eastAsia" w:ascii="宋体" w:hAnsi="宋体" w:eastAsia="宋体"/>
                <w:color w:val="auto"/>
                <w:szCs w:val="21"/>
              </w:rPr>
              <w:t>6.缸体：</w:t>
            </w:r>
            <w:bookmarkStart w:id="11" w:name="OLE_LINK2"/>
            <w:r>
              <w:rPr>
                <w:rFonts w:hint="eastAsia" w:ascii="宋体" w:hAnsi="宋体" w:eastAsia="宋体"/>
                <w:color w:val="auto"/>
                <w:szCs w:val="21"/>
              </w:rPr>
              <w:t>≥</w:t>
            </w:r>
            <w:bookmarkEnd w:id="11"/>
            <w:r>
              <w:rPr>
                <w:rFonts w:hint="eastAsia" w:ascii="宋体" w:hAnsi="宋体" w:eastAsia="宋体"/>
                <w:color w:val="auto"/>
                <w:szCs w:val="21"/>
              </w:rPr>
              <w:t>2；</w:t>
            </w:r>
          </w:p>
          <w:p w14:paraId="0E3C8607">
            <w:pPr>
              <w:spacing w:line="360" w:lineRule="auto"/>
              <w:jc w:val="left"/>
              <w:rPr>
                <w:rFonts w:hint="eastAsia" w:ascii="宋体" w:hAnsi="宋体" w:eastAsia="宋体"/>
                <w:color w:val="auto"/>
                <w:szCs w:val="21"/>
              </w:rPr>
            </w:pPr>
            <w:r>
              <w:rPr>
                <w:rFonts w:hint="eastAsia" w:ascii="宋体" w:hAnsi="宋体" w:eastAsia="宋体"/>
                <w:color w:val="auto"/>
                <w:szCs w:val="21"/>
              </w:rPr>
              <w:t>7.机油供给:预混，随机油箱：≥24L；</w:t>
            </w:r>
          </w:p>
          <w:p w14:paraId="42EE78CF">
            <w:pPr>
              <w:spacing w:line="360" w:lineRule="auto"/>
              <w:jc w:val="left"/>
              <w:rPr>
                <w:rFonts w:hint="eastAsia" w:ascii="宋体" w:hAnsi="宋体" w:eastAsia="宋体"/>
                <w:color w:val="auto"/>
                <w:szCs w:val="21"/>
              </w:rPr>
            </w:pPr>
            <w:r>
              <w:rPr>
                <w:rFonts w:hint="eastAsia" w:ascii="宋体" w:hAnsi="宋体" w:eastAsia="宋体"/>
                <w:color w:val="auto"/>
                <w:szCs w:val="21"/>
              </w:rPr>
              <w:t>8.艉板高度:S:≤430mm；</w:t>
            </w:r>
          </w:p>
          <w:p w14:paraId="519D74DD">
            <w:pPr>
              <w:spacing w:line="360" w:lineRule="auto"/>
              <w:jc w:val="left"/>
              <w:rPr>
                <w:rFonts w:hint="eastAsia" w:ascii="宋体" w:hAnsi="宋体" w:eastAsia="宋体"/>
                <w:color w:val="auto"/>
                <w:szCs w:val="21"/>
              </w:rPr>
            </w:pPr>
            <w:r>
              <w:rPr>
                <w:rFonts w:hint="eastAsia" w:ascii="宋体" w:hAnsi="宋体" w:eastAsia="宋体"/>
                <w:color w:val="auto"/>
                <w:szCs w:val="21"/>
              </w:rPr>
              <w:t>9.净重：≤52kg；</w:t>
            </w:r>
          </w:p>
          <w:p w14:paraId="2099300F">
            <w:pPr>
              <w:spacing w:line="360" w:lineRule="auto"/>
              <w:jc w:val="left"/>
              <w:rPr>
                <w:rFonts w:hint="eastAsia" w:ascii="宋体" w:hAnsi="宋体" w:eastAsia="宋体"/>
                <w:color w:val="auto"/>
                <w:szCs w:val="21"/>
              </w:rPr>
            </w:pPr>
            <w:r>
              <w:rPr>
                <w:rFonts w:hint="eastAsia" w:ascii="宋体" w:hAnsi="宋体" w:eastAsia="宋体"/>
                <w:color w:val="auto"/>
                <w:szCs w:val="21"/>
              </w:rPr>
              <w:t>10.操舵系统:后操；</w:t>
            </w:r>
          </w:p>
          <w:p w14:paraId="2FD566E6">
            <w:pPr>
              <w:spacing w:line="360" w:lineRule="auto"/>
              <w:jc w:val="left"/>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1.</w:t>
            </w:r>
            <w:r>
              <w:rPr>
                <w:rFonts w:hint="eastAsia" w:ascii="宋体" w:hAnsi="宋体" w:eastAsia="宋体"/>
                <w:color w:val="auto"/>
                <w:szCs w:val="21"/>
              </w:rPr>
              <w:t>参照中国船级社《内河小型船舶建造规范》第4章；中国船级社《小型海船入级规范》第4章；中国船级社《游艇入级与建造规范》第1篇第3章的标准，提供船外机</w:t>
            </w:r>
            <w:r>
              <w:rPr>
                <w:rFonts w:hint="eastAsia" w:ascii="宋体" w:hAnsi="宋体" w:eastAsia="宋体"/>
                <w:color w:val="auto"/>
                <w:szCs w:val="21"/>
                <w:lang w:eastAsia="zh-CN"/>
              </w:rPr>
              <w:t>的</w:t>
            </w:r>
            <w:r>
              <w:rPr>
                <w:rFonts w:hint="eastAsia" w:ascii="宋体" w:hAnsi="宋体" w:eastAsia="宋体"/>
                <w:color w:val="auto"/>
                <w:szCs w:val="21"/>
              </w:rPr>
              <w:t>国家消防装备质量检验检测中心或其他国家认可的权威检验机构出具的检测报告复印件。</w:t>
            </w:r>
          </w:p>
        </w:tc>
        <w:tc>
          <w:tcPr>
            <w:tcW w:w="1176" w:type="pct"/>
            <w:vAlign w:val="center"/>
          </w:tcPr>
          <w:p w14:paraId="28D948EB">
            <w:pPr>
              <w:spacing w:line="360" w:lineRule="auto"/>
              <w:jc w:val="center"/>
              <w:rPr>
                <w:rFonts w:hint="eastAsia" w:ascii="宋体" w:hAnsi="宋体" w:eastAsia="宋体"/>
                <w:color w:val="auto"/>
                <w:szCs w:val="21"/>
              </w:rPr>
            </w:pPr>
            <w:r>
              <w:rPr>
                <w:rFonts w:ascii="宋体" w:hAnsi="宋体" w:eastAsia="宋体"/>
                <w:color w:val="auto"/>
                <w:szCs w:val="21"/>
              </w:rPr>
              <w:drawing>
                <wp:inline distT="0" distB="0" distL="0" distR="0">
                  <wp:extent cx="1075055" cy="1533525"/>
                  <wp:effectExtent l="0" t="0" r="1079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78717" cy="1538699"/>
                          </a:xfrm>
                          <a:prstGeom prst="rect">
                            <a:avLst/>
                          </a:prstGeom>
                          <a:noFill/>
                          <a:ln>
                            <a:noFill/>
                          </a:ln>
                        </pic:spPr>
                      </pic:pic>
                    </a:graphicData>
                  </a:graphic>
                </wp:inline>
              </w:drawing>
            </w:r>
          </w:p>
        </w:tc>
      </w:tr>
      <w:tr w14:paraId="2CAF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4EC4ECFA">
            <w:pPr>
              <w:spacing w:line="360" w:lineRule="auto"/>
              <w:jc w:val="center"/>
              <w:rPr>
                <w:rFonts w:hint="eastAsia" w:ascii="宋体" w:hAnsi="宋体" w:eastAsia="宋体"/>
                <w:color w:val="auto"/>
                <w:szCs w:val="21"/>
              </w:rPr>
            </w:pPr>
            <w:r>
              <w:rPr>
                <w:rFonts w:hint="eastAsia" w:ascii="宋体" w:hAnsi="宋体" w:eastAsia="宋体"/>
                <w:color w:val="auto"/>
                <w:szCs w:val="21"/>
              </w:rPr>
              <w:t>3</w:t>
            </w:r>
          </w:p>
        </w:tc>
        <w:tc>
          <w:tcPr>
            <w:tcW w:w="611" w:type="pct"/>
            <w:vAlign w:val="center"/>
          </w:tcPr>
          <w:p w14:paraId="73C403BD">
            <w:pPr>
              <w:spacing w:line="360" w:lineRule="auto"/>
              <w:jc w:val="center"/>
              <w:rPr>
                <w:rFonts w:hint="eastAsia" w:ascii="宋体" w:hAnsi="宋体" w:eastAsia="宋体"/>
                <w:color w:val="auto"/>
                <w:szCs w:val="21"/>
              </w:rPr>
            </w:pPr>
            <w:r>
              <w:rPr>
                <w:rFonts w:hint="eastAsia" w:ascii="宋体" w:hAnsi="宋体" w:eastAsia="宋体"/>
                <w:color w:val="auto"/>
                <w:szCs w:val="21"/>
              </w:rPr>
              <w:t>激流救生衣</w:t>
            </w:r>
          </w:p>
        </w:tc>
        <w:tc>
          <w:tcPr>
            <w:tcW w:w="2643" w:type="pct"/>
            <w:vAlign w:val="center"/>
          </w:tcPr>
          <w:p w14:paraId="41D07075">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1、背心式，采用红色高强度面料，浮材柔软贴身，舒适层采用不吸水功能面料。衣领后部的提手方便携带。胸襟 YKK 塑钢开口拉链，拉链内两个隐藏式胸襟安全连接插扣减少水中挂住的风险。前置两个4孔塑胶挂块及六个横向挂点，可固定频闪定位灯、割绳刀、求生哨等装备。4条调节固定带确保救生衣穿着稳固。独立快插式可调的腿环式胯下带必要时能将救生衣保持在身体最佳位置，腿带连接扣有固定袋。前置两个一体化双层口袋，底部透水网可快速排水。胸部左右有带挂点的魔术贴。背部可拆卸后置物袋，魔术粘用于粘贴反光标签。置物袋侧面有荧光棒固定环。反光面积不小于300平方厘米；</w:t>
            </w:r>
          </w:p>
          <w:p w14:paraId="747709A6">
            <w:pPr>
              <w:pStyle w:val="4"/>
              <w:numPr>
                <w:ilvl w:val="0"/>
                <w:numId w:val="2"/>
              </w:numPr>
              <w:spacing w:line="360" w:lineRule="auto"/>
              <w:rPr>
                <w:rFonts w:hint="eastAsia" w:ascii="宋体" w:hAnsi="宋体" w:eastAsia="宋体"/>
                <w:color w:val="auto"/>
                <w:sz w:val="21"/>
                <w:szCs w:val="21"/>
              </w:rPr>
            </w:pPr>
            <w:r>
              <w:rPr>
                <w:rFonts w:hint="eastAsia" w:ascii="宋体" w:hAnsi="宋体" w:eastAsia="宋体"/>
                <w:color w:val="auto"/>
                <w:sz w:val="21"/>
                <w:szCs w:val="21"/>
              </w:rPr>
              <w:t>自逃离系统的快速释放装置采用高强度压板，快速释放带穿过不锈钢日字扣，配高可视度红色拉手。弹力牛尾绳一端O型环，另一端铝合金快挂扣；</w:t>
            </w:r>
          </w:p>
          <w:p w14:paraId="15BA1AA5">
            <w:pPr>
              <w:pStyle w:val="4"/>
              <w:numPr>
                <w:ilvl w:val="0"/>
                <w:numId w:val="2"/>
              </w:numPr>
              <w:spacing w:line="360" w:lineRule="auto"/>
              <w:rPr>
                <w:rFonts w:hint="eastAsia" w:ascii="宋体" w:hAnsi="宋体" w:eastAsia="宋体"/>
                <w:color w:val="auto"/>
                <w:sz w:val="21"/>
                <w:szCs w:val="21"/>
              </w:rPr>
            </w:pPr>
            <w:r>
              <w:rPr>
                <w:rFonts w:hint="eastAsia" w:ascii="宋体" w:hAnsi="宋体" w:eastAsia="宋体"/>
                <w:color w:val="auto"/>
                <w:sz w:val="21"/>
                <w:szCs w:val="21"/>
              </w:rPr>
              <w:t>配置360°遇水自动激活带测试功能频闪定位灯、水域专用无滚珠口哨；</w:t>
            </w:r>
          </w:p>
          <w:p w14:paraId="2EF755F8">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▲4、浮力≥150N。</w:t>
            </w:r>
          </w:p>
          <w:p w14:paraId="1F9CF0CE">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▲5、浮力损失：救生衣在淡水中浸泡24h后，其浮力损失≤1.3%；</w:t>
            </w:r>
          </w:p>
          <w:p w14:paraId="62CEBF8A">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▲6、救生衣强度：救生衣衣身能承受3200N的作用力30min而不损坏，救生衣肩部能承受900N的作用力30min而不损坏，裆带与救生衣衣体之间能承受900N的作用力而不发生脱离或损坏；</w:t>
            </w:r>
          </w:p>
          <w:p w14:paraId="3096ED85">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▲7、快脱带：人员穿着救生衣以任何方式下水，能在10s内解开快脱带，且快脱带的开启力不大于110N。快脱带在系紧状态下能承受2500N的拉力而不发生误开启；</w:t>
            </w:r>
          </w:p>
          <w:p w14:paraId="2922DFBC">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8、人员穿着救生衣以任意方式下水后，在自有漂浮状态下，人嘴能高处水面120mm以上；</w:t>
            </w:r>
          </w:p>
          <w:p w14:paraId="39EDEFA9">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9、水域救援牛尾绳经≥5KN的强度试验后，不出现断裂现象；</w:t>
            </w:r>
          </w:p>
          <w:p w14:paraId="7810015B">
            <w:pPr>
              <w:pStyle w:val="4"/>
              <w:spacing w:line="360" w:lineRule="auto"/>
              <w:rPr>
                <w:rFonts w:hint="eastAsia" w:ascii="宋体" w:hAnsi="宋体" w:eastAsia="宋体"/>
                <w:color w:val="auto"/>
                <w:sz w:val="21"/>
                <w:szCs w:val="21"/>
              </w:rPr>
            </w:pPr>
            <w:r>
              <w:rPr>
                <w:rFonts w:hint="eastAsia" w:ascii="宋体" w:hAnsi="宋体" w:eastAsia="宋体"/>
                <w:color w:val="auto"/>
                <w:sz w:val="21"/>
                <w:szCs w:val="21"/>
              </w:rPr>
              <w:t>10、面料撕破强力经向≥370N纬向≥242N，接缝断裂强力≥638N，抗湿性能≥4级；</w:t>
            </w:r>
          </w:p>
          <w:p w14:paraId="1910ED88">
            <w:pPr>
              <w:snapToGrid w:val="0"/>
              <w:spacing w:line="360" w:lineRule="auto"/>
              <w:jc w:val="left"/>
              <w:rPr>
                <w:rFonts w:hint="eastAsia" w:ascii="宋体" w:hAnsi="宋体" w:eastAsia="宋体"/>
                <w:color w:val="auto"/>
                <w:szCs w:val="21"/>
              </w:rPr>
            </w:pPr>
            <w:r>
              <w:rPr>
                <w:rFonts w:hint="eastAsia" w:ascii="宋体" w:hAnsi="宋体" w:eastAsia="宋体"/>
                <w:color w:val="auto"/>
                <w:szCs w:val="21"/>
              </w:rPr>
              <w:t>11、标准配置：救生衣1件、定位灯1个、无滚珠口哨1个、弹力牛尾绳1根、腿带1副、收纳袋1个；</w:t>
            </w:r>
          </w:p>
          <w:p w14:paraId="39753C6B">
            <w:pPr>
              <w:snapToGrid w:val="0"/>
              <w:spacing w:line="360" w:lineRule="auto"/>
              <w:jc w:val="left"/>
              <w:rPr>
                <w:rFonts w:hint="eastAsia" w:ascii="宋体" w:hAnsi="宋体" w:eastAsia="宋体"/>
                <w:color w:val="auto"/>
                <w:szCs w:val="21"/>
              </w:rPr>
            </w:pPr>
            <w:r>
              <w:rPr>
                <w:rFonts w:hint="eastAsia" w:ascii="宋体" w:hAnsi="宋体" w:eastAsia="宋体"/>
                <w:color w:val="auto"/>
                <w:szCs w:val="21"/>
              </w:rPr>
              <w:t>12、参照《激流救生衣试验大纲》的标准，</w:t>
            </w:r>
            <w:r>
              <w:rPr>
                <w:rFonts w:hint="eastAsia" w:ascii="宋体" w:hAnsi="宋体" w:eastAsia="宋体"/>
                <w:color w:val="auto"/>
                <w:szCs w:val="21"/>
                <w:lang w:val="en-US" w:eastAsia="zh-CN"/>
              </w:rPr>
              <w:t>以上“</w:t>
            </w:r>
            <w:r>
              <w:rPr>
                <w:rFonts w:hint="eastAsia" w:ascii="宋体" w:hAnsi="宋体" w:eastAsia="宋体"/>
                <w:color w:val="auto"/>
                <w:szCs w:val="21"/>
              </w:rPr>
              <w:t>▲</w:t>
            </w:r>
            <w:r>
              <w:rPr>
                <w:rFonts w:hint="eastAsia" w:ascii="宋体" w:hAnsi="宋体" w:eastAsia="宋体"/>
                <w:color w:val="auto"/>
                <w:szCs w:val="21"/>
                <w:lang w:eastAsia="zh-CN"/>
              </w:rPr>
              <w:t>”</w:t>
            </w:r>
            <w:r>
              <w:rPr>
                <w:rFonts w:hint="eastAsia" w:ascii="宋体" w:hAnsi="宋体" w:eastAsia="宋体"/>
                <w:color w:val="auto"/>
                <w:szCs w:val="21"/>
                <w:lang w:val="en-US" w:eastAsia="zh-CN"/>
              </w:rPr>
              <w:t>条款需</w:t>
            </w:r>
            <w:r>
              <w:rPr>
                <w:rFonts w:hint="eastAsia" w:ascii="宋体" w:hAnsi="宋体" w:eastAsia="宋体"/>
                <w:color w:val="auto"/>
                <w:szCs w:val="21"/>
              </w:rPr>
              <w:t>提供国家消防装备质量检验检测中心或其他国家认可的权威检验机构出具的检测报告复印件。</w:t>
            </w:r>
          </w:p>
        </w:tc>
        <w:tc>
          <w:tcPr>
            <w:tcW w:w="1176" w:type="pct"/>
            <w:vAlign w:val="center"/>
          </w:tcPr>
          <w:p w14:paraId="619BAFAF">
            <w:pPr>
              <w:spacing w:line="360" w:lineRule="auto"/>
              <w:jc w:val="center"/>
              <w:rPr>
                <w:rFonts w:hint="eastAsia" w:ascii="宋体" w:hAnsi="宋体" w:eastAsia="宋体"/>
                <w:color w:val="auto"/>
                <w:szCs w:val="21"/>
              </w:rPr>
            </w:pPr>
            <w:r>
              <w:rPr>
                <w:color w:val="auto"/>
              </w:rPr>
              <w:drawing>
                <wp:inline distT="0" distB="0" distL="0" distR="0">
                  <wp:extent cx="1225550" cy="1735455"/>
                  <wp:effectExtent l="0" t="0" r="12700" b="1714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37034" cy="1752043"/>
                          </a:xfrm>
                          <a:prstGeom prst="rect">
                            <a:avLst/>
                          </a:prstGeom>
                          <a:noFill/>
                          <a:ln>
                            <a:noFill/>
                          </a:ln>
                        </pic:spPr>
                      </pic:pic>
                    </a:graphicData>
                  </a:graphic>
                </wp:inline>
              </w:drawing>
            </w:r>
          </w:p>
        </w:tc>
      </w:tr>
      <w:tr w14:paraId="3E96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6A6A7859">
            <w:pPr>
              <w:spacing w:line="360" w:lineRule="auto"/>
              <w:jc w:val="center"/>
              <w:rPr>
                <w:rFonts w:hint="eastAsia" w:ascii="宋体" w:hAnsi="宋体" w:eastAsia="宋体"/>
                <w:color w:val="auto"/>
                <w:szCs w:val="21"/>
              </w:rPr>
            </w:pPr>
            <w:r>
              <w:rPr>
                <w:rFonts w:hint="eastAsia" w:ascii="宋体" w:hAnsi="宋体" w:eastAsia="宋体"/>
                <w:color w:val="auto"/>
                <w:szCs w:val="21"/>
              </w:rPr>
              <w:t>4</w:t>
            </w:r>
          </w:p>
        </w:tc>
        <w:tc>
          <w:tcPr>
            <w:tcW w:w="611" w:type="pct"/>
            <w:vAlign w:val="center"/>
          </w:tcPr>
          <w:p w14:paraId="1197E7CB">
            <w:pPr>
              <w:spacing w:line="360" w:lineRule="auto"/>
              <w:jc w:val="center"/>
              <w:rPr>
                <w:rFonts w:hint="eastAsia" w:ascii="宋体" w:hAnsi="宋体" w:eastAsia="宋体"/>
                <w:color w:val="auto"/>
                <w:szCs w:val="21"/>
              </w:rPr>
            </w:pPr>
            <w:r>
              <w:rPr>
                <w:rFonts w:hint="eastAsia" w:ascii="宋体" w:hAnsi="宋体" w:eastAsia="宋体"/>
                <w:color w:val="auto"/>
                <w:szCs w:val="21"/>
              </w:rPr>
              <w:t>救生衣</w:t>
            </w:r>
          </w:p>
        </w:tc>
        <w:tc>
          <w:tcPr>
            <w:tcW w:w="2643" w:type="pct"/>
            <w:vAlign w:val="center"/>
          </w:tcPr>
          <w:p w14:paraId="0BA41B16">
            <w:pPr>
              <w:spacing w:line="360" w:lineRule="auto"/>
              <w:jc w:val="left"/>
              <w:rPr>
                <w:rFonts w:hint="eastAsia" w:ascii="宋体" w:hAnsi="宋体" w:eastAsia="宋体"/>
                <w:color w:val="auto"/>
                <w:szCs w:val="21"/>
              </w:rPr>
            </w:pPr>
            <w:r>
              <w:rPr>
                <w:rFonts w:hint="eastAsia" w:ascii="宋体" w:hAnsi="宋体" w:eastAsia="宋体"/>
                <w:color w:val="auto"/>
                <w:szCs w:val="21"/>
              </w:rPr>
              <w:t>1.救生衣颜色：橙色。</w:t>
            </w:r>
            <w:r>
              <w:rPr>
                <w:rFonts w:hint="eastAsia" w:ascii="宋体" w:hAnsi="宋体" w:eastAsia="宋体"/>
                <w:color w:val="auto"/>
                <w:szCs w:val="21"/>
              </w:rPr>
              <w:br w:type="textWrapping"/>
            </w:r>
            <w:r>
              <w:rPr>
                <w:rFonts w:hint="eastAsia" w:ascii="宋体" w:hAnsi="宋体" w:eastAsia="宋体"/>
                <w:color w:val="auto"/>
                <w:szCs w:val="21"/>
              </w:rPr>
              <w:t>2.系固采用插扣和拉链形式。</w:t>
            </w:r>
            <w:r>
              <w:rPr>
                <w:rFonts w:hint="eastAsia" w:ascii="宋体" w:hAnsi="宋体" w:eastAsia="宋体"/>
                <w:color w:val="auto"/>
                <w:szCs w:val="21"/>
              </w:rPr>
              <w:br w:type="textWrapping"/>
            </w:r>
            <w:r>
              <w:rPr>
                <w:rFonts w:hint="eastAsia" w:ascii="宋体" w:hAnsi="宋体" w:eastAsia="宋体"/>
                <w:color w:val="auto"/>
                <w:szCs w:val="21"/>
              </w:rPr>
              <w:t>3.救生衣上逆向反光带的总面积不小于400c㎡，且穿着人员在水中时，水面以上的救生衣外表面所贴逆向反光带的总面积不小于200c㎡。</w:t>
            </w:r>
            <w:r>
              <w:rPr>
                <w:rFonts w:hint="eastAsia" w:ascii="宋体" w:hAnsi="宋体" w:eastAsia="宋体"/>
                <w:color w:val="auto"/>
                <w:szCs w:val="21"/>
              </w:rPr>
              <w:br w:type="textWrapping"/>
            </w:r>
            <w:r>
              <w:rPr>
                <w:rFonts w:hint="eastAsia" w:ascii="宋体" w:hAnsi="宋体" w:eastAsia="宋体"/>
                <w:color w:val="auto"/>
                <w:szCs w:val="21"/>
              </w:rPr>
              <w:t>4.救生衣上配有便携气胀式救生圈，且使用时能与救生衣分离。</w:t>
            </w:r>
            <w:r>
              <w:rPr>
                <w:rFonts w:hint="eastAsia" w:ascii="宋体" w:hAnsi="宋体" w:eastAsia="宋体"/>
                <w:color w:val="auto"/>
                <w:szCs w:val="21"/>
              </w:rPr>
              <w:br w:type="textWrapping"/>
            </w:r>
            <w:r>
              <w:rPr>
                <w:rFonts w:hint="eastAsia" w:ascii="宋体" w:hAnsi="宋体" w:eastAsia="宋体"/>
                <w:color w:val="auto"/>
                <w:szCs w:val="21"/>
              </w:rPr>
              <w:t>5.装有能防止穿着人员入水后救生衣上浮窜动的裆带，有效防止救生衣在水中与身体发生窜动或脱离，使救生衣浮力更加有效。</w:t>
            </w:r>
            <w:r>
              <w:rPr>
                <w:rFonts w:hint="eastAsia" w:ascii="宋体" w:hAnsi="宋体" w:eastAsia="宋体"/>
                <w:color w:val="auto"/>
                <w:szCs w:val="21"/>
              </w:rPr>
              <w:br w:type="textWrapping"/>
            </w:r>
            <w:r>
              <w:rPr>
                <w:rFonts w:hint="eastAsia" w:ascii="宋体" w:hAnsi="宋体" w:eastAsia="宋体"/>
                <w:color w:val="auto"/>
                <w:szCs w:val="21"/>
              </w:rPr>
              <w:t>▲6.浮力：</w:t>
            </w:r>
            <w:r>
              <w:rPr>
                <w:rFonts w:hint="eastAsia" w:ascii="宋体" w:hAnsi="宋体" w:eastAsia="宋体"/>
                <w:color w:val="auto"/>
                <w:szCs w:val="21"/>
              </w:rPr>
              <w:br w:type="textWrapping"/>
            </w:r>
            <w:r>
              <w:rPr>
                <w:rFonts w:hint="eastAsia" w:ascii="宋体" w:hAnsi="宋体" w:eastAsia="宋体"/>
                <w:color w:val="auto"/>
                <w:szCs w:val="21"/>
              </w:rPr>
              <w:t>6.1救生衣固有浮力材料提供的浮力为≥80N；</w:t>
            </w:r>
            <w:r>
              <w:rPr>
                <w:rFonts w:hint="eastAsia" w:ascii="宋体" w:hAnsi="宋体" w:eastAsia="宋体"/>
                <w:color w:val="auto"/>
                <w:szCs w:val="21"/>
              </w:rPr>
              <w:br w:type="textWrapping"/>
            </w:r>
            <w:r>
              <w:rPr>
                <w:rFonts w:hint="eastAsia" w:ascii="宋体" w:hAnsi="宋体" w:eastAsia="宋体"/>
                <w:color w:val="auto"/>
                <w:szCs w:val="21"/>
              </w:rPr>
              <w:t>6.2救生衣安全气囊提供的浮力≥110N；</w:t>
            </w:r>
            <w:r>
              <w:rPr>
                <w:rFonts w:hint="eastAsia" w:ascii="宋体" w:hAnsi="宋体" w:eastAsia="宋体"/>
                <w:color w:val="auto"/>
                <w:szCs w:val="21"/>
              </w:rPr>
              <w:br w:type="textWrapping"/>
            </w:r>
            <w:r>
              <w:rPr>
                <w:rFonts w:hint="eastAsia" w:ascii="宋体" w:hAnsi="宋体" w:eastAsia="宋体"/>
                <w:color w:val="auto"/>
                <w:szCs w:val="21"/>
              </w:rPr>
              <w:t>6.3救生衣上所配置的气胀式救生圈提供的浮力≥150N。</w:t>
            </w:r>
            <w:r>
              <w:rPr>
                <w:rFonts w:hint="eastAsia" w:ascii="宋体" w:hAnsi="宋体" w:eastAsia="宋体"/>
                <w:color w:val="auto"/>
                <w:szCs w:val="21"/>
              </w:rPr>
              <w:br w:type="textWrapping"/>
            </w:r>
            <w:r>
              <w:rPr>
                <w:rFonts w:hint="eastAsia" w:ascii="宋体" w:hAnsi="宋体" w:eastAsia="宋体"/>
                <w:color w:val="auto"/>
                <w:szCs w:val="21"/>
              </w:rPr>
              <w:t>▲7.浮力损失：</w:t>
            </w:r>
            <w:r>
              <w:rPr>
                <w:rFonts w:hint="eastAsia" w:ascii="宋体" w:hAnsi="宋体" w:eastAsia="宋体"/>
                <w:color w:val="auto"/>
                <w:szCs w:val="21"/>
              </w:rPr>
              <w:br w:type="textWrapping"/>
            </w:r>
            <w:r>
              <w:rPr>
                <w:rFonts w:hint="eastAsia" w:ascii="宋体" w:hAnsi="宋体" w:eastAsia="宋体"/>
                <w:color w:val="auto"/>
                <w:szCs w:val="21"/>
              </w:rPr>
              <w:t>7.1在安全气囊未充气状态下，救生衣在淡水中浸泡24h后，其浮力损失≤1.5%；</w:t>
            </w:r>
            <w:r>
              <w:rPr>
                <w:rFonts w:hint="eastAsia" w:ascii="宋体" w:hAnsi="宋体" w:eastAsia="宋体"/>
                <w:color w:val="auto"/>
                <w:szCs w:val="21"/>
              </w:rPr>
              <w:br w:type="textWrapping"/>
            </w:r>
            <w:r>
              <w:rPr>
                <w:rFonts w:hint="eastAsia" w:ascii="宋体" w:hAnsi="宋体" w:eastAsia="宋体"/>
                <w:color w:val="auto"/>
                <w:szCs w:val="21"/>
              </w:rPr>
              <w:t>7.2安全气囊充气后，救生衣在淡水中浸泡24 h后，其浮力损失≤2.0%；</w:t>
            </w:r>
            <w:r>
              <w:rPr>
                <w:rFonts w:hint="eastAsia" w:ascii="宋体" w:hAnsi="宋体" w:eastAsia="宋体"/>
                <w:color w:val="auto"/>
                <w:szCs w:val="21"/>
              </w:rPr>
              <w:br w:type="textWrapping"/>
            </w:r>
            <w:r>
              <w:rPr>
                <w:rFonts w:hint="eastAsia" w:ascii="宋体" w:hAnsi="宋体" w:eastAsia="宋体"/>
                <w:color w:val="auto"/>
                <w:szCs w:val="21"/>
              </w:rPr>
              <w:t>7.3气胀式救生圈充气后在淡水中浸泡24h后,其浮力损失≤1.5%。</w:t>
            </w:r>
            <w:r>
              <w:rPr>
                <w:rFonts w:hint="eastAsia" w:ascii="宋体" w:hAnsi="宋体" w:eastAsia="宋体"/>
                <w:color w:val="auto"/>
                <w:szCs w:val="21"/>
              </w:rPr>
              <w:br w:type="textWrapping"/>
            </w:r>
            <w:r>
              <w:rPr>
                <w:rFonts w:hint="eastAsia" w:ascii="宋体" w:hAnsi="宋体" w:eastAsia="宋体"/>
                <w:color w:val="auto"/>
                <w:szCs w:val="21"/>
              </w:rPr>
              <w:t>▲8.强度：</w:t>
            </w:r>
            <w:r>
              <w:rPr>
                <w:rFonts w:hint="eastAsia" w:ascii="宋体" w:hAnsi="宋体" w:eastAsia="宋体"/>
                <w:color w:val="auto"/>
                <w:szCs w:val="21"/>
              </w:rPr>
              <w:br w:type="textWrapping"/>
            </w:r>
            <w:r>
              <w:rPr>
                <w:rFonts w:hint="eastAsia" w:ascii="宋体" w:hAnsi="宋体" w:eastAsia="宋体"/>
                <w:color w:val="auto"/>
                <w:szCs w:val="21"/>
              </w:rPr>
              <w:t>8.1救生衣衣身应能承受3200N的作用力30min而不损坏；</w:t>
            </w:r>
            <w:r>
              <w:rPr>
                <w:rFonts w:hint="eastAsia" w:ascii="宋体" w:hAnsi="宋体" w:eastAsia="宋体"/>
                <w:color w:val="auto"/>
                <w:szCs w:val="21"/>
              </w:rPr>
              <w:br w:type="textWrapping"/>
            </w:r>
            <w:r>
              <w:rPr>
                <w:rFonts w:hint="eastAsia" w:ascii="宋体" w:hAnsi="宋体" w:eastAsia="宋体"/>
                <w:color w:val="auto"/>
                <w:szCs w:val="21"/>
              </w:rPr>
              <w:t>8.2救生衣肩部应能承受900N的作用力30min而不损坏；</w:t>
            </w:r>
            <w:r>
              <w:rPr>
                <w:rFonts w:hint="eastAsia" w:ascii="宋体" w:hAnsi="宋体" w:eastAsia="宋体"/>
                <w:color w:val="auto"/>
                <w:szCs w:val="21"/>
              </w:rPr>
              <w:br w:type="textWrapping"/>
            </w:r>
            <w:r>
              <w:rPr>
                <w:rFonts w:hint="eastAsia" w:ascii="宋体" w:hAnsi="宋体" w:eastAsia="宋体"/>
                <w:color w:val="auto"/>
                <w:szCs w:val="21"/>
              </w:rPr>
              <w:t>8.3安全气囊与救生衣体之间应能承受900N的作用力而不发生脱离或损坏；</w:t>
            </w:r>
            <w:r>
              <w:rPr>
                <w:rFonts w:hint="eastAsia" w:ascii="宋体" w:hAnsi="宋体" w:eastAsia="宋体"/>
                <w:color w:val="auto"/>
                <w:szCs w:val="21"/>
              </w:rPr>
              <w:br w:type="textWrapping"/>
            </w:r>
            <w:r>
              <w:rPr>
                <w:rFonts w:hint="eastAsia" w:ascii="宋体" w:hAnsi="宋体" w:eastAsia="宋体"/>
                <w:color w:val="auto"/>
                <w:szCs w:val="21"/>
              </w:rPr>
              <w:t>8.4裆带与救生衣之间应能承受900N的作用力而不发生脱离或损坏。</w:t>
            </w:r>
            <w:r>
              <w:rPr>
                <w:rFonts w:hint="eastAsia" w:ascii="宋体" w:hAnsi="宋体" w:eastAsia="宋体"/>
                <w:color w:val="auto"/>
                <w:szCs w:val="21"/>
              </w:rPr>
              <w:br w:type="textWrapping"/>
            </w:r>
            <w:r>
              <w:rPr>
                <w:rFonts w:hint="eastAsia" w:ascii="宋体" w:hAnsi="宋体" w:eastAsia="宋体"/>
                <w:color w:val="auto"/>
                <w:szCs w:val="21"/>
              </w:rPr>
              <w:t>▲9.在安全气囊未充气情况下，穿着人员穿着救生衣以任意方式下水，救生衣能在5s内使人体处于直立姿态，且人嘴高出水面120mm以上；在安全气囊充气的情况下，救生衣能在3s内使人体处于后仰姿态，且人体躯干与铅垂线的角度不小于30”，人嘴高出水面120m以上。</w:t>
            </w:r>
            <w:r>
              <w:rPr>
                <w:rFonts w:hint="eastAsia" w:ascii="宋体" w:hAnsi="宋体" w:eastAsia="宋体"/>
                <w:color w:val="auto"/>
                <w:szCs w:val="21"/>
              </w:rPr>
              <w:br w:type="textWrapping"/>
            </w:r>
            <w:r>
              <w:rPr>
                <w:rFonts w:hint="eastAsia" w:ascii="宋体" w:hAnsi="宋体" w:eastAsia="宋体"/>
                <w:color w:val="auto"/>
                <w:szCs w:val="21"/>
              </w:rPr>
              <w:t>10.参照《消防用救生衣试验大纲》的标准，</w:t>
            </w:r>
            <w:r>
              <w:rPr>
                <w:rFonts w:hint="eastAsia" w:ascii="宋体" w:hAnsi="宋体" w:eastAsia="宋体"/>
                <w:color w:val="auto"/>
                <w:szCs w:val="21"/>
                <w:lang w:val="en-US" w:eastAsia="zh-CN"/>
              </w:rPr>
              <w:t>以上“</w:t>
            </w:r>
            <w:r>
              <w:rPr>
                <w:rFonts w:hint="eastAsia" w:ascii="宋体" w:hAnsi="宋体" w:eastAsia="宋体"/>
                <w:color w:val="auto"/>
                <w:szCs w:val="21"/>
              </w:rPr>
              <w:t>▲</w:t>
            </w:r>
            <w:r>
              <w:rPr>
                <w:rFonts w:hint="eastAsia" w:ascii="宋体" w:hAnsi="宋体" w:eastAsia="宋体"/>
                <w:color w:val="auto"/>
                <w:szCs w:val="21"/>
                <w:lang w:eastAsia="zh-CN"/>
              </w:rPr>
              <w:t>”</w:t>
            </w:r>
            <w:r>
              <w:rPr>
                <w:rFonts w:hint="eastAsia" w:ascii="宋体" w:hAnsi="宋体" w:eastAsia="宋体"/>
                <w:color w:val="auto"/>
                <w:szCs w:val="21"/>
                <w:lang w:val="en-US" w:eastAsia="zh-CN"/>
              </w:rPr>
              <w:t>条款需</w:t>
            </w:r>
            <w:r>
              <w:rPr>
                <w:rFonts w:hint="eastAsia" w:ascii="宋体" w:hAnsi="宋体" w:eastAsia="宋体"/>
                <w:color w:val="auto"/>
                <w:szCs w:val="21"/>
              </w:rPr>
              <w:t>提供国家消防装备质量检验检测中心或其他国家认可的权威检验机构出具的检测报告复印件。</w:t>
            </w:r>
          </w:p>
        </w:tc>
        <w:tc>
          <w:tcPr>
            <w:tcW w:w="1176" w:type="pct"/>
            <w:vAlign w:val="center"/>
          </w:tcPr>
          <w:p w14:paraId="31AFC148">
            <w:pPr>
              <w:spacing w:line="360" w:lineRule="auto"/>
              <w:jc w:val="center"/>
              <w:rPr>
                <w:rFonts w:hint="eastAsia" w:ascii="宋体" w:hAnsi="宋体" w:eastAsia="宋体"/>
                <w:color w:val="auto"/>
                <w:szCs w:val="21"/>
              </w:rPr>
            </w:pPr>
            <w:r>
              <w:rPr>
                <w:color w:val="auto"/>
              </w:rPr>
              <w:drawing>
                <wp:inline distT="0" distB="0" distL="0" distR="0">
                  <wp:extent cx="1495425" cy="1400175"/>
                  <wp:effectExtent l="0" t="0" r="9525" b="952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95425" cy="1400175"/>
                          </a:xfrm>
                          <a:prstGeom prst="rect">
                            <a:avLst/>
                          </a:prstGeom>
                          <a:noFill/>
                          <a:ln>
                            <a:noFill/>
                          </a:ln>
                        </pic:spPr>
                      </pic:pic>
                    </a:graphicData>
                  </a:graphic>
                </wp:inline>
              </w:drawing>
            </w:r>
          </w:p>
        </w:tc>
      </w:tr>
      <w:tr w14:paraId="7753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376B7456">
            <w:pPr>
              <w:spacing w:line="360" w:lineRule="auto"/>
              <w:jc w:val="center"/>
              <w:rPr>
                <w:rFonts w:hint="eastAsia" w:ascii="宋体" w:hAnsi="宋体" w:eastAsia="宋体"/>
                <w:color w:val="auto"/>
                <w:szCs w:val="21"/>
              </w:rPr>
            </w:pPr>
            <w:r>
              <w:rPr>
                <w:rFonts w:hint="eastAsia" w:ascii="宋体" w:hAnsi="宋体" w:eastAsia="宋体"/>
                <w:color w:val="auto"/>
                <w:szCs w:val="21"/>
              </w:rPr>
              <w:t>5</w:t>
            </w:r>
          </w:p>
        </w:tc>
        <w:tc>
          <w:tcPr>
            <w:tcW w:w="611" w:type="pct"/>
            <w:vAlign w:val="center"/>
          </w:tcPr>
          <w:p w14:paraId="305AE042">
            <w:pPr>
              <w:spacing w:line="360" w:lineRule="auto"/>
              <w:jc w:val="center"/>
              <w:rPr>
                <w:rFonts w:hint="eastAsia" w:ascii="宋体" w:hAnsi="宋体" w:eastAsia="宋体"/>
                <w:color w:val="auto"/>
                <w:szCs w:val="21"/>
              </w:rPr>
            </w:pPr>
            <w:r>
              <w:rPr>
                <w:rFonts w:hint="eastAsia" w:ascii="宋体" w:hAnsi="宋体" w:eastAsia="宋体"/>
                <w:color w:val="auto"/>
                <w:szCs w:val="21"/>
              </w:rPr>
              <w:t>佩戴式防爆照明灯</w:t>
            </w:r>
          </w:p>
        </w:tc>
        <w:tc>
          <w:tcPr>
            <w:tcW w:w="2643" w:type="pct"/>
            <w:vAlign w:val="center"/>
          </w:tcPr>
          <w:p w14:paraId="295A15BA">
            <w:pPr>
              <w:spacing w:line="360" w:lineRule="auto"/>
              <w:jc w:val="left"/>
              <w:rPr>
                <w:rFonts w:hint="eastAsia" w:ascii="宋体" w:hAnsi="宋体" w:eastAsia="宋体"/>
                <w:color w:val="auto"/>
                <w:szCs w:val="21"/>
              </w:rPr>
            </w:pPr>
            <w:r>
              <w:rPr>
                <w:rFonts w:hint="eastAsia" w:ascii="宋体" w:hAnsi="宋体" w:eastAsia="宋体"/>
                <w:color w:val="auto"/>
                <w:szCs w:val="21"/>
              </w:rPr>
              <w:t>1、防爆标志Ex ib IIC T4 Gb，供电选用带有双重化保护的锂离子电池；</w:t>
            </w:r>
          </w:p>
          <w:p w14:paraId="00003A92">
            <w:pPr>
              <w:spacing w:line="360" w:lineRule="auto"/>
              <w:jc w:val="left"/>
              <w:rPr>
                <w:rFonts w:hint="eastAsia" w:ascii="宋体" w:hAnsi="宋体" w:eastAsia="宋体"/>
                <w:color w:val="auto"/>
                <w:szCs w:val="21"/>
              </w:rPr>
            </w:pPr>
            <w:r>
              <w:rPr>
                <w:rFonts w:hint="eastAsia" w:ascii="宋体" w:hAnsi="宋体" w:eastAsia="宋体"/>
                <w:color w:val="auto"/>
                <w:szCs w:val="21"/>
              </w:rPr>
              <w:t>▲2、灯具低电压报警时间为10s-20s，防护等级IP66/IP68（5m，1h）；</w:t>
            </w:r>
          </w:p>
          <w:p w14:paraId="23D396C8">
            <w:pPr>
              <w:spacing w:line="360" w:lineRule="auto"/>
              <w:jc w:val="left"/>
              <w:rPr>
                <w:rFonts w:hint="eastAsia" w:ascii="宋体" w:hAnsi="宋体" w:eastAsia="宋体"/>
                <w:color w:val="auto"/>
                <w:szCs w:val="21"/>
              </w:rPr>
            </w:pPr>
            <w:r>
              <w:rPr>
                <w:rFonts w:hint="eastAsia" w:ascii="宋体" w:hAnsi="宋体" w:eastAsia="宋体"/>
                <w:color w:val="auto"/>
                <w:szCs w:val="21"/>
              </w:rPr>
              <w:t>2、额定电压≥3.7V，额定容量≥1.9Ah，功率≥3W；</w:t>
            </w:r>
          </w:p>
          <w:p w14:paraId="074C42CA">
            <w:pPr>
              <w:spacing w:line="360" w:lineRule="auto"/>
              <w:jc w:val="left"/>
              <w:rPr>
                <w:rFonts w:hint="eastAsia" w:ascii="宋体" w:hAnsi="宋体" w:eastAsia="宋体"/>
                <w:color w:val="auto"/>
                <w:szCs w:val="21"/>
              </w:rPr>
            </w:pPr>
            <w:r>
              <w:rPr>
                <w:rFonts w:hint="eastAsia" w:ascii="宋体" w:hAnsi="宋体" w:eastAsia="宋体"/>
                <w:color w:val="auto"/>
                <w:szCs w:val="21"/>
              </w:rPr>
              <w:t>3、灯具电量可视化显示，可直观查看灯具工作状态、电量、剩余工作时间，且可显示所属单位、人员信息，实现装备规范化管理；</w:t>
            </w:r>
          </w:p>
          <w:p w14:paraId="13AAEF44">
            <w:pPr>
              <w:spacing w:line="360" w:lineRule="auto"/>
              <w:jc w:val="left"/>
              <w:rPr>
                <w:rFonts w:hint="eastAsia" w:ascii="宋体" w:hAnsi="宋体" w:eastAsia="宋体"/>
                <w:color w:val="auto"/>
                <w:szCs w:val="21"/>
              </w:rPr>
            </w:pPr>
            <w:r>
              <w:rPr>
                <w:rFonts w:hint="eastAsia" w:ascii="宋体" w:hAnsi="宋体" w:eastAsia="宋体"/>
                <w:color w:val="auto"/>
                <w:szCs w:val="21"/>
              </w:rPr>
              <w:t>4、使用时间：强光≥5h，弱光≥10h，充电时间＜4h；</w:t>
            </w:r>
          </w:p>
          <w:p w14:paraId="1FA9B9CE">
            <w:pPr>
              <w:spacing w:line="360" w:lineRule="auto"/>
              <w:jc w:val="left"/>
              <w:rPr>
                <w:rFonts w:hint="eastAsia" w:ascii="宋体" w:hAnsi="宋体" w:eastAsia="宋体"/>
                <w:color w:val="auto"/>
                <w:szCs w:val="21"/>
              </w:rPr>
            </w:pPr>
            <w:r>
              <w:rPr>
                <w:rFonts w:hint="eastAsia" w:ascii="宋体" w:hAnsi="宋体" w:eastAsia="宋体"/>
                <w:color w:val="auto"/>
                <w:szCs w:val="21"/>
              </w:rPr>
              <w:t>▲5、2m处光束直径150mm，强光照度平均值≥3500lx，最小值≥2580lx；弱光照度平均值≥1500lx，最小值≥1200lx；</w:t>
            </w:r>
          </w:p>
          <w:p w14:paraId="4D49CCDB">
            <w:pPr>
              <w:spacing w:line="360" w:lineRule="auto"/>
              <w:jc w:val="left"/>
              <w:rPr>
                <w:rFonts w:hint="eastAsia" w:ascii="宋体" w:hAnsi="宋体" w:eastAsia="宋体"/>
                <w:color w:val="auto"/>
                <w:szCs w:val="21"/>
              </w:rPr>
            </w:pPr>
            <w:r>
              <w:rPr>
                <w:rFonts w:hint="eastAsia" w:ascii="宋体" w:hAnsi="宋体" w:eastAsia="宋体"/>
                <w:color w:val="auto"/>
                <w:szCs w:val="21"/>
              </w:rPr>
              <w:t>▲6、质量：≤8</w:t>
            </w:r>
            <w:r>
              <w:rPr>
                <w:rFonts w:ascii="宋体" w:hAnsi="宋体" w:eastAsia="宋体"/>
                <w:color w:val="auto"/>
                <w:szCs w:val="21"/>
              </w:rPr>
              <w:t>6</w:t>
            </w:r>
            <w:r>
              <w:rPr>
                <w:rFonts w:hint="eastAsia" w:ascii="宋体" w:hAnsi="宋体" w:eastAsia="宋体"/>
                <w:color w:val="auto"/>
                <w:szCs w:val="21"/>
              </w:rPr>
              <w:t>g；</w:t>
            </w:r>
          </w:p>
          <w:p w14:paraId="2344D02B">
            <w:pPr>
              <w:numPr>
                <w:ilvl w:val="0"/>
                <w:numId w:val="3"/>
              </w:numPr>
              <w:spacing w:line="360" w:lineRule="auto"/>
              <w:ind w:left="0" w:leftChars="0" w:firstLine="0" w:firstLineChars="0"/>
              <w:jc w:val="left"/>
              <w:rPr>
                <w:rFonts w:hint="eastAsia" w:ascii="宋体" w:hAnsi="宋体" w:eastAsia="宋体"/>
                <w:color w:val="auto"/>
                <w:szCs w:val="21"/>
              </w:rPr>
            </w:pPr>
            <w:r>
              <w:rPr>
                <w:rFonts w:hint="eastAsia" w:ascii="宋体" w:hAnsi="宋体" w:eastAsia="宋体"/>
                <w:color w:val="auto"/>
                <w:szCs w:val="21"/>
              </w:rPr>
              <w:t>耐电压性能：灯具应耐受频率为50Hz±0.5Hz，交流电压为500V±50V，历时60s±5s的耐电压试验，试验过程中，灯具不应出现表面飞弧和击穿现象、试验结束后，灯具应能正常进行开、关和强、弱光切换。</w:t>
            </w:r>
          </w:p>
          <w:p w14:paraId="2CF966EC">
            <w:pPr>
              <w:pStyle w:val="2"/>
              <w:numPr>
                <w:ilvl w:val="0"/>
                <w:numId w:val="3"/>
              </w:numPr>
              <w:ind w:left="0" w:leftChars="0" w:firstLine="0" w:firstLineChars="0"/>
              <w:rPr>
                <w:rFonts w:hint="eastAsia"/>
                <w:color w:val="auto"/>
              </w:rPr>
            </w:pPr>
            <w:r>
              <w:rPr>
                <w:rFonts w:hint="eastAsia" w:ascii="宋体" w:hAnsi="宋体" w:eastAsia="宋体"/>
                <w:color w:val="auto"/>
                <w:szCs w:val="21"/>
                <w:lang w:val="en-US" w:eastAsia="zh-CN"/>
              </w:rPr>
              <w:t>以上“</w:t>
            </w:r>
            <w:r>
              <w:rPr>
                <w:rFonts w:hint="eastAsia" w:ascii="宋体" w:hAnsi="宋体" w:eastAsia="宋体"/>
                <w:color w:val="auto"/>
                <w:szCs w:val="21"/>
              </w:rPr>
              <w:t>▲</w:t>
            </w:r>
            <w:r>
              <w:rPr>
                <w:rFonts w:hint="eastAsia" w:ascii="宋体" w:hAnsi="宋体" w:eastAsia="宋体"/>
                <w:color w:val="auto"/>
                <w:szCs w:val="21"/>
                <w:lang w:eastAsia="zh-CN"/>
              </w:rPr>
              <w:t>”</w:t>
            </w:r>
            <w:r>
              <w:rPr>
                <w:rFonts w:hint="eastAsia" w:ascii="宋体" w:hAnsi="宋体" w:eastAsia="宋体"/>
                <w:color w:val="auto"/>
                <w:szCs w:val="21"/>
                <w:lang w:val="en-US" w:eastAsia="zh-CN"/>
              </w:rPr>
              <w:t>条款需</w:t>
            </w:r>
            <w:r>
              <w:rPr>
                <w:rFonts w:hint="eastAsia" w:ascii="宋体" w:hAnsi="宋体" w:eastAsia="宋体"/>
                <w:color w:val="auto"/>
                <w:szCs w:val="21"/>
              </w:rPr>
              <w:t>提供国家消防装备质量检验检测中心或其他国家认可的权威检验机构出具的检测报告复印件。</w:t>
            </w:r>
          </w:p>
        </w:tc>
        <w:tc>
          <w:tcPr>
            <w:tcW w:w="1176" w:type="pct"/>
            <w:vAlign w:val="center"/>
          </w:tcPr>
          <w:p w14:paraId="21F2B699">
            <w:pPr>
              <w:spacing w:line="360" w:lineRule="auto"/>
              <w:jc w:val="center"/>
              <w:rPr>
                <w:rFonts w:hint="eastAsia" w:ascii="宋体" w:hAnsi="宋体" w:eastAsia="宋体"/>
                <w:color w:val="auto"/>
                <w:szCs w:val="21"/>
              </w:rPr>
            </w:pPr>
            <w:r>
              <w:rPr>
                <w:color w:val="auto"/>
              </w:rPr>
              <w:drawing>
                <wp:inline distT="0" distB="0" distL="0" distR="0">
                  <wp:extent cx="1263650" cy="828675"/>
                  <wp:effectExtent l="0" t="0" r="12700" b="9525"/>
                  <wp:docPr id="5" name="图片 5" descr="C:\Users\admin\Desktop\微信图片_20250418114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Desktop\微信图片_2025041811463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89382" cy="845540"/>
                          </a:xfrm>
                          <a:prstGeom prst="rect">
                            <a:avLst/>
                          </a:prstGeom>
                          <a:noFill/>
                          <a:ln>
                            <a:noFill/>
                          </a:ln>
                        </pic:spPr>
                      </pic:pic>
                    </a:graphicData>
                  </a:graphic>
                </wp:inline>
              </w:drawing>
            </w:r>
          </w:p>
        </w:tc>
      </w:tr>
      <w:tr w14:paraId="2E31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653F7850">
            <w:pPr>
              <w:spacing w:line="360" w:lineRule="auto"/>
              <w:jc w:val="center"/>
              <w:rPr>
                <w:rFonts w:hint="eastAsia" w:ascii="宋体" w:hAnsi="宋体" w:eastAsia="宋体"/>
                <w:color w:val="auto"/>
                <w:szCs w:val="21"/>
              </w:rPr>
            </w:pPr>
            <w:r>
              <w:rPr>
                <w:rFonts w:hint="eastAsia" w:ascii="宋体" w:hAnsi="宋体" w:eastAsia="宋体"/>
                <w:color w:val="auto"/>
                <w:szCs w:val="21"/>
              </w:rPr>
              <w:t>6</w:t>
            </w:r>
          </w:p>
        </w:tc>
        <w:tc>
          <w:tcPr>
            <w:tcW w:w="611" w:type="pct"/>
            <w:vAlign w:val="center"/>
          </w:tcPr>
          <w:p w14:paraId="4EF79138">
            <w:pPr>
              <w:spacing w:line="360" w:lineRule="auto"/>
              <w:jc w:val="center"/>
              <w:rPr>
                <w:rFonts w:hint="eastAsia" w:ascii="宋体" w:hAnsi="宋体" w:eastAsia="宋体"/>
                <w:color w:val="auto"/>
                <w:szCs w:val="21"/>
              </w:rPr>
            </w:pPr>
            <w:r>
              <w:rPr>
                <w:rFonts w:hint="eastAsia" w:ascii="宋体" w:hAnsi="宋体" w:eastAsia="宋体"/>
                <w:color w:val="auto"/>
                <w:szCs w:val="21"/>
              </w:rPr>
              <w:t>手提式防爆照明灯</w:t>
            </w:r>
          </w:p>
        </w:tc>
        <w:tc>
          <w:tcPr>
            <w:tcW w:w="2643" w:type="pct"/>
            <w:vAlign w:val="center"/>
          </w:tcPr>
          <w:p w14:paraId="0A8AEA5D">
            <w:pPr>
              <w:spacing w:line="360" w:lineRule="auto"/>
              <w:jc w:val="left"/>
              <w:rPr>
                <w:rFonts w:hint="eastAsia" w:ascii="宋体" w:hAnsi="宋体" w:eastAsia="宋体"/>
                <w:color w:val="auto"/>
                <w:szCs w:val="21"/>
              </w:rPr>
            </w:pPr>
            <w:r>
              <w:rPr>
                <w:rFonts w:hint="eastAsia" w:ascii="宋体" w:hAnsi="宋体" w:eastAsia="宋体"/>
                <w:color w:val="auto"/>
                <w:szCs w:val="21"/>
              </w:rPr>
              <w:t>1、光源：大功率发光LED。</w:t>
            </w:r>
          </w:p>
          <w:p w14:paraId="0E4D9D2C">
            <w:pPr>
              <w:spacing w:line="360" w:lineRule="auto"/>
              <w:jc w:val="left"/>
              <w:rPr>
                <w:rFonts w:hint="eastAsia" w:ascii="宋体" w:hAnsi="宋体" w:eastAsia="宋体"/>
                <w:color w:val="auto"/>
                <w:szCs w:val="21"/>
              </w:rPr>
            </w:pPr>
            <w:r>
              <w:rPr>
                <w:rFonts w:hint="eastAsia" w:ascii="宋体" w:hAnsi="宋体" w:eastAsia="宋体"/>
                <w:color w:val="auto"/>
                <w:szCs w:val="21"/>
              </w:rPr>
              <w:t>2、电量查询及警示功能：剩余电量查询及低电量报警提示，以保证出警时电量充足。</w:t>
            </w:r>
          </w:p>
          <w:p w14:paraId="7A161949">
            <w:pPr>
              <w:spacing w:line="360" w:lineRule="auto"/>
              <w:jc w:val="left"/>
              <w:rPr>
                <w:rFonts w:hint="eastAsia" w:ascii="宋体" w:hAnsi="宋体" w:eastAsia="宋体"/>
                <w:color w:val="auto"/>
                <w:szCs w:val="21"/>
              </w:rPr>
            </w:pPr>
            <w:r>
              <w:rPr>
                <w:rFonts w:hint="eastAsia" w:ascii="宋体" w:hAnsi="宋体" w:eastAsia="宋体"/>
                <w:color w:val="auto"/>
                <w:szCs w:val="21"/>
              </w:rPr>
              <w:t>3、额定电压≥14.8V，额定容量≥2Ah，工作时间：强光≥7h，工作光≥13h；4、灯具为隔爆型防爆，灯头采用双层透明件设计，防爆等级为：Ex db ia IIC T6 Gb（需提供防爆证书）；防护等级：IP68（1.5m，1h），确保工作人员在易燃易爆场所及下雨天气安全使用。</w:t>
            </w:r>
          </w:p>
          <w:p w14:paraId="3CD4F803">
            <w:pPr>
              <w:spacing w:line="360" w:lineRule="auto"/>
              <w:jc w:val="left"/>
              <w:rPr>
                <w:rFonts w:hint="eastAsia" w:ascii="宋体" w:hAnsi="宋体" w:eastAsia="宋体"/>
                <w:color w:val="auto"/>
                <w:szCs w:val="21"/>
              </w:rPr>
            </w:pPr>
            <w:r>
              <w:rPr>
                <w:rFonts w:hint="eastAsia" w:ascii="宋体" w:hAnsi="宋体" w:eastAsia="宋体"/>
                <w:color w:val="auto"/>
                <w:szCs w:val="21"/>
              </w:rPr>
              <w:t>5、重量≤1.1kg，充电时间≤5h。</w:t>
            </w:r>
          </w:p>
          <w:p w14:paraId="513B538B">
            <w:pPr>
              <w:spacing w:line="360" w:lineRule="auto"/>
              <w:jc w:val="left"/>
              <w:rPr>
                <w:rFonts w:hint="eastAsia" w:ascii="宋体" w:hAnsi="宋体" w:eastAsia="宋体"/>
                <w:color w:val="auto"/>
                <w:szCs w:val="21"/>
              </w:rPr>
            </w:pPr>
            <w:r>
              <w:rPr>
                <w:rFonts w:hint="eastAsia" w:ascii="宋体" w:hAnsi="宋体" w:eastAsia="宋体"/>
                <w:color w:val="auto"/>
                <w:szCs w:val="21"/>
              </w:rPr>
              <w:t>6、手提处激光打印名牌标识有灯具名称、型号、厂家名称、额定电压、功率、生产编号等信息。</w:t>
            </w:r>
          </w:p>
          <w:p w14:paraId="6C00EE22">
            <w:pPr>
              <w:spacing w:line="360" w:lineRule="auto"/>
              <w:jc w:val="left"/>
              <w:rPr>
                <w:rFonts w:hint="eastAsia" w:ascii="宋体" w:hAnsi="宋体" w:eastAsia="宋体"/>
                <w:color w:val="auto"/>
                <w:szCs w:val="21"/>
              </w:rPr>
            </w:pPr>
            <w:r>
              <w:rPr>
                <w:rFonts w:hint="eastAsia" w:ascii="宋体" w:hAnsi="宋体" w:eastAsia="宋体"/>
                <w:color w:val="auto"/>
                <w:szCs w:val="21"/>
              </w:rPr>
              <w:t>7、提供手提式防爆照明灯</w:t>
            </w:r>
            <w:r>
              <w:rPr>
                <w:rFonts w:hint="eastAsia" w:ascii="宋体" w:hAnsi="宋体" w:eastAsia="宋体"/>
                <w:color w:val="auto"/>
                <w:szCs w:val="21"/>
                <w:lang w:eastAsia="zh-CN"/>
              </w:rPr>
              <w:t>的</w:t>
            </w:r>
            <w:r>
              <w:rPr>
                <w:rFonts w:hint="eastAsia" w:ascii="宋体" w:hAnsi="宋体" w:eastAsia="宋体"/>
                <w:color w:val="auto"/>
                <w:szCs w:val="21"/>
              </w:rPr>
              <w:t>国家消防装备质量检验检测中心或其他国家认可的权威检验机构出具的检测报告复印件。</w:t>
            </w:r>
          </w:p>
        </w:tc>
        <w:tc>
          <w:tcPr>
            <w:tcW w:w="1176" w:type="pct"/>
            <w:vAlign w:val="center"/>
          </w:tcPr>
          <w:p w14:paraId="7ABC8B1B">
            <w:pPr>
              <w:spacing w:line="360" w:lineRule="auto"/>
              <w:jc w:val="center"/>
              <w:rPr>
                <w:rFonts w:hint="eastAsia" w:ascii="宋体" w:hAnsi="宋体" w:eastAsia="宋体"/>
                <w:color w:val="auto"/>
                <w:szCs w:val="21"/>
              </w:rPr>
            </w:pPr>
            <w:r>
              <w:rPr>
                <w:color w:val="auto"/>
              </w:rPr>
              <w:drawing>
                <wp:inline distT="0" distB="0" distL="0" distR="0">
                  <wp:extent cx="1158240" cy="1032510"/>
                  <wp:effectExtent l="0" t="0" r="3810" b="15240"/>
                  <wp:docPr id="6" name="图片 6" descr="C:\Users\admin\Documents\WeChat Files\wxid_vx57ai246uvf21\FileStorage\Temp\1744948107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Documents\WeChat Files\wxid_vx57ai246uvf21\FileStorage\Temp\17449481074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88724" cy="1059761"/>
                          </a:xfrm>
                          <a:prstGeom prst="rect">
                            <a:avLst/>
                          </a:prstGeom>
                          <a:noFill/>
                          <a:ln>
                            <a:noFill/>
                          </a:ln>
                        </pic:spPr>
                      </pic:pic>
                    </a:graphicData>
                  </a:graphic>
                </wp:inline>
              </w:drawing>
            </w:r>
          </w:p>
        </w:tc>
      </w:tr>
      <w:tr w14:paraId="5F4D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3A6D2957">
            <w:pPr>
              <w:spacing w:line="360" w:lineRule="auto"/>
              <w:jc w:val="center"/>
              <w:rPr>
                <w:rFonts w:hint="eastAsia" w:ascii="宋体" w:hAnsi="宋体" w:eastAsia="宋体"/>
                <w:color w:val="auto"/>
                <w:szCs w:val="21"/>
              </w:rPr>
            </w:pPr>
            <w:r>
              <w:rPr>
                <w:rFonts w:hint="eastAsia" w:ascii="宋体" w:hAnsi="宋体" w:eastAsia="宋体"/>
                <w:color w:val="auto"/>
                <w:szCs w:val="21"/>
              </w:rPr>
              <w:t>7</w:t>
            </w:r>
          </w:p>
        </w:tc>
        <w:tc>
          <w:tcPr>
            <w:tcW w:w="611" w:type="pct"/>
            <w:vAlign w:val="center"/>
          </w:tcPr>
          <w:p w14:paraId="08D7D4D0">
            <w:pPr>
              <w:spacing w:line="360" w:lineRule="auto"/>
              <w:jc w:val="center"/>
              <w:rPr>
                <w:rFonts w:hint="eastAsia" w:ascii="宋体" w:hAnsi="宋体" w:eastAsia="宋体"/>
                <w:color w:val="auto"/>
                <w:szCs w:val="21"/>
              </w:rPr>
            </w:pPr>
            <w:r>
              <w:rPr>
                <w:rFonts w:hint="eastAsia" w:ascii="宋体" w:hAnsi="宋体" w:eastAsia="宋体"/>
                <w:color w:val="auto"/>
                <w:szCs w:val="21"/>
              </w:rPr>
              <w:t>救生拉杆</w:t>
            </w:r>
          </w:p>
        </w:tc>
        <w:tc>
          <w:tcPr>
            <w:tcW w:w="2643" w:type="pct"/>
            <w:vAlign w:val="center"/>
          </w:tcPr>
          <w:p w14:paraId="5B0BD9BF">
            <w:pPr>
              <w:spacing w:line="360" w:lineRule="auto"/>
              <w:jc w:val="left"/>
              <w:rPr>
                <w:rFonts w:hint="eastAsia" w:ascii="宋体" w:hAnsi="宋体" w:eastAsia="宋体"/>
                <w:color w:val="auto"/>
                <w:szCs w:val="21"/>
              </w:rPr>
            </w:pPr>
            <w:r>
              <w:rPr>
                <w:rFonts w:hint="eastAsia" w:ascii="宋体" w:hAnsi="宋体" w:eastAsia="宋体"/>
                <w:color w:val="auto"/>
                <w:szCs w:val="21"/>
              </w:rPr>
              <w:t>▲1、收缩后长度≤2.</w:t>
            </w:r>
            <w:r>
              <w:rPr>
                <w:rFonts w:ascii="宋体" w:hAnsi="宋体" w:eastAsia="宋体"/>
                <w:color w:val="auto"/>
                <w:szCs w:val="21"/>
              </w:rPr>
              <w:t>4</w:t>
            </w:r>
            <w:r>
              <w:rPr>
                <w:rFonts w:hint="eastAsia" w:ascii="宋体" w:hAnsi="宋体" w:eastAsia="宋体"/>
                <w:color w:val="auto"/>
                <w:szCs w:val="21"/>
              </w:rPr>
              <w:t xml:space="preserve">米； </w:t>
            </w:r>
          </w:p>
          <w:p w14:paraId="70AD5857">
            <w:pPr>
              <w:spacing w:line="360" w:lineRule="auto"/>
              <w:jc w:val="left"/>
              <w:rPr>
                <w:rFonts w:hint="eastAsia" w:ascii="宋体" w:hAnsi="宋体" w:eastAsia="宋体"/>
                <w:color w:val="auto"/>
                <w:szCs w:val="21"/>
              </w:rPr>
            </w:pPr>
            <w:r>
              <w:rPr>
                <w:rFonts w:hint="eastAsia" w:ascii="宋体" w:hAnsi="宋体" w:eastAsia="宋体"/>
                <w:color w:val="auto"/>
                <w:szCs w:val="21"/>
              </w:rPr>
              <w:t xml:space="preserve">2、展开长度（米）≥18米； </w:t>
            </w:r>
          </w:p>
          <w:p w14:paraId="4522E748">
            <w:pPr>
              <w:spacing w:line="360" w:lineRule="auto"/>
              <w:jc w:val="left"/>
              <w:rPr>
                <w:rFonts w:hint="eastAsia" w:ascii="宋体" w:hAnsi="宋体" w:eastAsia="宋体"/>
                <w:color w:val="auto"/>
                <w:szCs w:val="21"/>
              </w:rPr>
            </w:pPr>
            <w:r>
              <w:rPr>
                <w:rFonts w:hint="eastAsia" w:ascii="宋体" w:hAnsi="宋体" w:eastAsia="宋体"/>
                <w:color w:val="auto"/>
                <w:szCs w:val="21"/>
              </w:rPr>
              <w:t>3、重量≤4.</w:t>
            </w:r>
            <w:r>
              <w:rPr>
                <w:rFonts w:ascii="宋体" w:hAnsi="宋体" w:eastAsia="宋体"/>
                <w:color w:val="auto"/>
                <w:szCs w:val="21"/>
              </w:rPr>
              <w:t>5</w:t>
            </w:r>
            <w:r>
              <w:rPr>
                <w:rFonts w:hint="eastAsia" w:ascii="宋体" w:hAnsi="宋体" w:eastAsia="宋体"/>
                <w:color w:val="auto"/>
                <w:szCs w:val="21"/>
              </w:rPr>
              <w:t>Kg；</w:t>
            </w:r>
          </w:p>
          <w:p w14:paraId="670FA1BA">
            <w:pPr>
              <w:spacing w:line="360" w:lineRule="auto"/>
              <w:jc w:val="left"/>
              <w:rPr>
                <w:rFonts w:hint="eastAsia" w:ascii="宋体" w:hAnsi="宋体" w:eastAsia="宋体"/>
                <w:color w:val="auto"/>
                <w:szCs w:val="21"/>
              </w:rPr>
            </w:pPr>
            <w:r>
              <w:rPr>
                <w:rFonts w:hint="eastAsia" w:ascii="宋体" w:hAnsi="宋体" w:eastAsia="宋体"/>
                <w:color w:val="auto"/>
                <w:szCs w:val="21"/>
              </w:rPr>
              <w:t>4、主杆材质：碳纤维；</w:t>
            </w:r>
          </w:p>
          <w:p w14:paraId="5DBC3DFA">
            <w:pPr>
              <w:spacing w:line="360" w:lineRule="auto"/>
              <w:jc w:val="left"/>
              <w:rPr>
                <w:rFonts w:hint="eastAsia" w:ascii="宋体" w:hAnsi="宋体" w:eastAsia="宋体"/>
                <w:color w:val="auto"/>
                <w:szCs w:val="21"/>
              </w:rPr>
            </w:pPr>
            <w:r>
              <w:rPr>
                <w:rFonts w:hint="eastAsia" w:ascii="宋体" w:hAnsi="宋体" w:eastAsia="宋体"/>
                <w:color w:val="auto"/>
                <w:szCs w:val="21"/>
              </w:rPr>
              <w:t>5、浮球规格 ：浮力7Kg；重量≤1200g，直径≤235mm；</w:t>
            </w:r>
          </w:p>
          <w:p w14:paraId="19A27EC2">
            <w:pPr>
              <w:spacing w:line="360" w:lineRule="auto"/>
              <w:jc w:val="left"/>
              <w:rPr>
                <w:rFonts w:hint="eastAsia" w:ascii="宋体" w:hAnsi="宋体" w:eastAsia="宋体"/>
                <w:color w:val="auto"/>
                <w:szCs w:val="21"/>
              </w:rPr>
            </w:pPr>
            <w:r>
              <w:rPr>
                <w:rFonts w:hint="eastAsia" w:ascii="宋体" w:hAnsi="宋体" w:eastAsia="宋体"/>
                <w:color w:val="auto"/>
                <w:szCs w:val="21"/>
              </w:rPr>
              <w:t>▲6、救生套圈规格：直径≥500mm；重量≤490g；浮力≥7kg；</w:t>
            </w:r>
          </w:p>
          <w:p w14:paraId="09E59147">
            <w:pPr>
              <w:spacing w:line="360" w:lineRule="auto"/>
              <w:jc w:val="left"/>
              <w:rPr>
                <w:rFonts w:hint="eastAsia" w:ascii="宋体" w:hAnsi="宋体" w:eastAsia="宋体"/>
                <w:color w:val="auto"/>
                <w:szCs w:val="21"/>
              </w:rPr>
            </w:pPr>
            <w:r>
              <w:rPr>
                <w:rFonts w:hint="eastAsia" w:ascii="宋体" w:hAnsi="宋体" w:eastAsia="宋体"/>
                <w:color w:val="auto"/>
                <w:szCs w:val="21"/>
              </w:rPr>
              <w:t>7、单钩规格 ：钩口宽≤155mm ；长度≥330mm ；重量≤270g；</w:t>
            </w:r>
          </w:p>
          <w:p w14:paraId="4702F821">
            <w:pPr>
              <w:spacing w:line="360" w:lineRule="auto"/>
              <w:jc w:val="left"/>
              <w:rPr>
                <w:rFonts w:hint="eastAsia" w:ascii="宋体" w:hAnsi="宋体" w:eastAsia="宋体"/>
                <w:color w:val="auto"/>
                <w:szCs w:val="21"/>
              </w:rPr>
            </w:pPr>
            <w:r>
              <w:rPr>
                <w:rFonts w:hint="eastAsia" w:ascii="宋体" w:hAnsi="宋体" w:eastAsia="宋体"/>
                <w:color w:val="auto"/>
                <w:szCs w:val="21"/>
              </w:rPr>
              <w:t>▲8、三爪钩规格：挂钩内径≥120mm；长度≥325mm；重量≤590g，钩宽距离：≥230mm；</w:t>
            </w:r>
          </w:p>
          <w:p w14:paraId="57F5F1B0">
            <w:pPr>
              <w:spacing w:line="360" w:lineRule="auto"/>
              <w:jc w:val="left"/>
              <w:rPr>
                <w:rFonts w:hint="eastAsia" w:ascii="宋体" w:hAnsi="宋体" w:eastAsia="宋体"/>
                <w:color w:val="auto"/>
                <w:szCs w:val="21"/>
              </w:rPr>
            </w:pPr>
            <w:r>
              <w:rPr>
                <w:rFonts w:hint="eastAsia" w:ascii="宋体" w:hAnsi="宋体" w:eastAsia="宋体"/>
                <w:color w:val="auto"/>
                <w:szCs w:val="21"/>
              </w:rPr>
              <w:t>9、弧形钩规格：重量≥565g；长度≤700mm；宽度≤540mm；</w:t>
            </w:r>
          </w:p>
          <w:p w14:paraId="1145D5C4">
            <w:pPr>
              <w:spacing w:line="360" w:lineRule="auto"/>
              <w:jc w:val="left"/>
              <w:rPr>
                <w:rFonts w:hint="eastAsia" w:ascii="宋体" w:hAnsi="宋体" w:eastAsia="宋体"/>
                <w:color w:val="auto"/>
                <w:szCs w:val="21"/>
              </w:rPr>
            </w:pPr>
            <w:r>
              <w:rPr>
                <w:rFonts w:hint="eastAsia" w:ascii="宋体" w:hAnsi="宋体" w:eastAsia="宋体"/>
                <w:color w:val="auto"/>
                <w:szCs w:val="21"/>
              </w:rPr>
              <w:t>▲10、照明装置规格:重量≤310g,内置锂电池:可循环充放电，具有TYPE-C接口，输出电压 3.7V,工作时间 22h,注液发电电池启动时效≤5秒,首次注液发电工作时长：≥48小时，累计工作时间≥70小时，发电总容量≥3500mah；</w:t>
            </w:r>
          </w:p>
          <w:p w14:paraId="3F26781A">
            <w:pPr>
              <w:spacing w:line="360" w:lineRule="auto"/>
              <w:jc w:val="left"/>
              <w:rPr>
                <w:rFonts w:hint="eastAsia" w:ascii="宋体" w:hAnsi="宋体" w:eastAsia="宋体"/>
                <w:color w:val="auto"/>
                <w:szCs w:val="21"/>
              </w:rPr>
            </w:pPr>
            <w:r>
              <w:rPr>
                <w:rFonts w:hint="eastAsia" w:ascii="宋体" w:hAnsi="宋体" w:eastAsia="宋体"/>
                <w:color w:val="auto"/>
                <w:szCs w:val="21"/>
              </w:rPr>
              <w:t>▲11、救生环规格：重量≤150g；浮力≥60N；</w:t>
            </w:r>
            <w:r>
              <w:rPr>
                <w:rFonts w:ascii="宋体" w:hAnsi="宋体" w:eastAsia="宋体"/>
                <w:color w:val="auto"/>
                <w:szCs w:val="21"/>
              </w:rPr>
              <w:t>具备定位功能通过APP</w:t>
            </w:r>
            <w:r>
              <w:rPr>
                <w:rFonts w:hint="eastAsia" w:ascii="宋体" w:hAnsi="宋体" w:eastAsia="宋体"/>
                <w:color w:val="auto"/>
                <w:szCs w:val="21"/>
              </w:rPr>
              <w:t>在6</w:t>
            </w:r>
            <w:r>
              <w:rPr>
                <w:rFonts w:ascii="宋体" w:hAnsi="宋体" w:eastAsia="宋体"/>
                <w:color w:val="auto"/>
                <w:szCs w:val="21"/>
              </w:rPr>
              <w:t>秒内完成定位</w:t>
            </w:r>
            <w:r>
              <w:rPr>
                <w:rFonts w:hint="eastAsia" w:ascii="宋体" w:hAnsi="宋体" w:eastAsia="宋体"/>
                <w:color w:val="auto"/>
                <w:szCs w:val="21"/>
              </w:rPr>
              <w:t>，</w:t>
            </w:r>
            <w:r>
              <w:rPr>
                <w:rFonts w:ascii="宋体" w:hAnsi="宋体" w:eastAsia="宋体"/>
                <w:color w:val="auto"/>
                <w:szCs w:val="21"/>
              </w:rPr>
              <w:t>定位精度≤1</w:t>
            </w:r>
            <w:r>
              <w:rPr>
                <w:rFonts w:hint="eastAsia" w:ascii="宋体" w:hAnsi="宋体" w:eastAsia="宋体"/>
                <w:color w:val="auto"/>
                <w:szCs w:val="21"/>
              </w:rPr>
              <w:t>米，</w:t>
            </w:r>
            <w:r>
              <w:rPr>
                <w:rFonts w:ascii="宋体" w:hAnsi="宋体" w:eastAsia="宋体"/>
                <w:color w:val="auto"/>
                <w:szCs w:val="21"/>
              </w:rPr>
              <w:t>主动报警功能：长按SOS键5秒成功发送报警信息后产品的红灯长亮，APP和中控5秒内收到报警信息及定位经纬度</w:t>
            </w:r>
            <w:r>
              <w:rPr>
                <w:rFonts w:hint="eastAsia" w:ascii="宋体" w:hAnsi="宋体" w:eastAsia="宋体"/>
                <w:color w:val="auto"/>
                <w:szCs w:val="21"/>
              </w:rPr>
              <w:t>；</w:t>
            </w:r>
          </w:p>
          <w:p w14:paraId="41DA4441">
            <w:pPr>
              <w:spacing w:line="360" w:lineRule="auto"/>
              <w:jc w:val="left"/>
              <w:rPr>
                <w:rFonts w:hint="eastAsia" w:ascii="宋体" w:hAnsi="宋体" w:eastAsia="宋体"/>
                <w:color w:val="auto"/>
                <w:szCs w:val="21"/>
              </w:rPr>
            </w:pPr>
            <w:r>
              <w:rPr>
                <w:rFonts w:hint="eastAsia" w:ascii="宋体" w:hAnsi="宋体" w:eastAsia="宋体"/>
                <w:color w:val="auto"/>
                <w:szCs w:val="21"/>
              </w:rPr>
              <w:t>12、参照GB/T 2423.2-2008电工电子产品环境试验第2部分:试验方法 试验B:高温企业技术要求的标准，</w:t>
            </w:r>
            <w:r>
              <w:rPr>
                <w:rFonts w:hint="eastAsia" w:ascii="宋体" w:hAnsi="宋体" w:eastAsia="宋体"/>
                <w:color w:val="auto"/>
                <w:szCs w:val="21"/>
                <w:lang w:val="en-US" w:eastAsia="zh-CN"/>
              </w:rPr>
              <w:t>13、以上“</w:t>
            </w:r>
            <w:r>
              <w:rPr>
                <w:rFonts w:hint="eastAsia" w:ascii="宋体" w:hAnsi="宋体" w:eastAsia="宋体"/>
                <w:color w:val="auto"/>
                <w:szCs w:val="21"/>
              </w:rPr>
              <w:t>▲</w:t>
            </w:r>
            <w:r>
              <w:rPr>
                <w:rFonts w:hint="eastAsia" w:ascii="宋体" w:hAnsi="宋体" w:eastAsia="宋体"/>
                <w:color w:val="auto"/>
                <w:szCs w:val="21"/>
                <w:lang w:eastAsia="zh-CN"/>
              </w:rPr>
              <w:t>”</w:t>
            </w:r>
            <w:r>
              <w:rPr>
                <w:rFonts w:hint="eastAsia" w:ascii="宋体" w:hAnsi="宋体" w:eastAsia="宋体"/>
                <w:color w:val="auto"/>
                <w:szCs w:val="21"/>
                <w:lang w:val="en-US" w:eastAsia="zh-CN"/>
              </w:rPr>
              <w:t>条款需</w:t>
            </w:r>
            <w:r>
              <w:rPr>
                <w:rFonts w:hint="eastAsia" w:ascii="宋体" w:hAnsi="宋体" w:eastAsia="宋体"/>
                <w:color w:val="auto"/>
                <w:szCs w:val="21"/>
              </w:rPr>
              <w:t>提供国家消防装备质量检验检测中心或其他国家认可的权威检验机构出具的检测报告复印件。</w:t>
            </w:r>
          </w:p>
        </w:tc>
        <w:tc>
          <w:tcPr>
            <w:tcW w:w="1176" w:type="pct"/>
            <w:vAlign w:val="center"/>
          </w:tcPr>
          <w:p w14:paraId="6D793E0A">
            <w:pPr>
              <w:spacing w:line="360" w:lineRule="auto"/>
              <w:jc w:val="center"/>
              <w:rPr>
                <w:rFonts w:hint="eastAsia" w:ascii="宋体" w:hAnsi="宋体" w:eastAsia="宋体"/>
                <w:color w:val="auto"/>
                <w:szCs w:val="21"/>
              </w:rPr>
            </w:pPr>
            <w:r>
              <w:rPr>
                <w:rFonts w:ascii="宋体" w:hAnsi="宋体" w:eastAsia="宋体"/>
                <w:color w:val="auto"/>
                <w:szCs w:val="21"/>
              </w:rPr>
              <w:drawing>
                <wp:inline distT="0" distB="0" distL="0" distR="0">
                  <wp:extent cx="1250950" cy="981075"/>
                  <wp:effectExtent l="0" t="0" r="635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62252" cy="989619"/>
                          </a:xfrm>
                          <a:prstGeom prst="rect">
                            <a:avLst/>
                          </a:prstGeom>
                          <a:noFill/>
                          <a:ln>
                            <a:noFill/>
                          </a:ln>
                        </pic:spPr>
                      </pic:pic>
                    </a:graphicData>
                  </a:graphic>
                </wp:inline>
              </w:drawing>
            </w:r>
          </w:p>
        </w:tc>
      </w:tr>
      <w:tr w14:paraId="5D9C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4B156499">
            <w:pPr>
              <w:spacing w:line="360" w:lineRule="auto"/>
              <w:jc w:val="center"/>
              <w:rPr>
                <w:rFonts w:hint="eastAsia" w:ascii="宋体" w:hAnsi="宋体" w:eastAsia="宋体"/>
                <w:color w:val="auto"/>
                <w:szCs w:val="21"/>
              </w:rPr>
            </w:pPr>
            <w:r>
              <w:rPr>
                <w:rFonts w:hint="eastAsia" w:ascii="宋体" w:hAnsi="宋体" w:eastAsia="宋体"/>
                <w:color w:val="auto"/>
                <w:szCs w:val="21"/>
              </w:rPr>
              <w:t>8</w:t>
            </w:r>
          </w:p>
        </w:tc>
        <w:tc>
          <w:tcPr>
            <w:tcW w:w="611" w:type="pct"/>
            <w:vAlign w:val="center"/>
          </w:tcPr>
          <w:p w14:paraId="0EC12072">
            <w:pPr>
              <w:spacing w:line="360" w:lineRule="auto"/>
              <w:jc w:val="center"/>
              <w:rPr>
                <w:rFonts w:hint="eastAsia" w:ascii="宋体" w:hAnsi="宋体" w:eastAsia="宋体"/>
                <w:color w:val="auto"/>
                <w:szCs w:val="21"/>
              </w:rPr>
            </w:pPr>
            <w:r>
              <w:rPr>
                <w:rFonts w:hint="eastAsia" w:ascii="宋体" w:hAnsi="宋体" w:eastAsia="宋体"/>
                <w:color w:val="auto"/>
                <w:szCs w:val="21"/>
              </w:rPr>
              <w:t>抛绳包</w:t>
            </w:r>
          </w:p>
        </w:tc>
        <w:tc>
          <w:tcPr>
            <w:tcW w:w="2643" w:type="pct"/>
            <w:vAlign w:val="center"/>
          </w:tcPr>
          <w:p w14:paraId="57B844E8">
            <w:pPr>
              <w:numPr>
                <w:ilvl w:val="0"/>
                <w:numId w:val="0"/>
              </w:numPr>
              <w:spacing w:line="360" w:lineRule="auto"/>
              <w:jc w:val="left"/>
              <w:rPr>
                <w:rFonts w:hint="eastAsia" w:ascii="宋体" w:hAnsi="宋体" w:eastAsia="宋体"/>
                <w:color w:val="auto"/>
                <w:szCs w:val="21"/>
              </w:rPr>
            </w:pPr>
            <w:r>
              <w:rPr>
                <w:rFonts w:hint="eastAsia" w:ascii="宋体" w:hAnsi="宋体" w:eastAsia="宋体" w:cstheme="minorBidi"/>
                <w:color w:val="auto"/>
                <w:kern w:val="2"/>
                <w:sz w:val="21"/>
                <w:szCs w:val="21"/>
                <w:lang w:val="en-US" w:eastAsia="zh-CN" w:bidi="ar-SA"/>
              </w:rPr>
              <w:t>1、</w:t>
            </w:r>
            <w:r>
              <w:rPr>
                <w:rFonts w:hint="eastAsia" w:ascii="宋体" w:hAnsi="宋体" w:eastAsia="宋体"/>
                <w:color w:val="auto"/>
                <w:szCs w:val="21"/>
              </w:rPr>
              <w:t>水域救援抛绳包为筒状结构，采用高强力过胶尼龙面料，包身配反光带。顶部采用系绳方式收束，抛绳包设有快速插扣和可调节长度的织带制提手环，2个内柔性提环设计方便绳索的快捷填充；</w:t>
            </w:r>
          </w:p>
          <w:p w14:paraId="4DD1557A">
            <w:pPr>
              <w:numPr>
                <w:ilvl w:val="0"/>
                <w:numId w:val="0"/>
              </w:numPr>
              <w:spacing w:line="360" w:lineRule="auto"/>
              <w:jc w:val="left"/>
              <w:rPr>
                <w:rFonts w:hint="eastAsia" w:ascii="宋体" w:hAnsi="宋体" w:eastAsia="宋体"/>
                <w:color w:val="auto"/>
                <w:szCs w:val="21"/>
              </w:rPr>
            </w:pPr>
            <w:r>
              <w:rPr>
                <w:rFonts w:hint="eastAsia" w:ascii="宋体" w:hAnsi="宋体" w:eastAsia="宋体" w:cstheme="minorBidi"/>
                <w:color w:val="auto"/>
                <w:kern w:val="2"/>
                <w:sz w:val="21"/>
                <w:szCs w:val="21"/>
                <w:lang w:val="en-US" w:eastAsia="zh-CN" w:bidi="ar-SA"/>
              </w:rPr>
              <w:t>2、</w:t>
            </w:r>
            <w:r>
              <w:rPr>
                <w:rFonts w:hint="eastAsia" w:ascii="宋体" w:hAnsi="宋体" w:eastAsia="宋体"/>
                <w:color w:val="auto"/>
                <w:szCs w:val="21"/>
              </w:rPr>
              <w:t>包身一侧的织带上缝有荧光棒固定弹力环，能插入并固定消防用荧光棒；</w:t>
            </w:r>
          </w:p>
          <w:p w14:paraId="4A45B731">
            <w:pPr>
              <w:numPr>
                <w:ilvl w:val="0"/>
                <w:numId w:val="0"/>
              </w:numPr>
              <w:spacing w:line="360" w:lineRule="auto"/>
              <w:jc w:val="left"/>
              <w:rPr>
                <w:rFonts w:hint="eastAsia" w:ascii="宋体" w:hAnsi="宋体" w:eastAsia="宋体"/>
                <w:color w:val="auto"/>
                <w:szCs w:val="21"/>
              </w:rPr>
            </w:pPr>
            <w:r>
              <w:rPr>
                <w:rFonts w:hint="eastAsia" w:ascii="宋体" w:hAnsi="宋体" w:eastAsia="宋体" w:cstheme="minorBidi"/>
                <w:color w:val="auto"/>
                <w:kern w:val="2"/>
                <w:sz w:val="21"/>
                <w:szCs w:val="21"/>
                <w:lang w:val="en-US" w:eastAsia="zh-CN" w:bidi="ar-SA"/>
              </w:rPr>
              <w:t>3、</w:t>
            </w:r>
            <w:r>
              <w:rPr>
                <w:rFonts w:hint="eastAsia" w:ascii="宋体" w:hAnsi="宋体" w:eastAsia="宋体"/>
                <w:color w:val="auto"/>
                <w:szCs w:val="21"/>
              </w:rPr>
              <w:t>筒身网布设计可以使得绳包快速排水和晾干，底部有泄水孔；</w:t>
            </w:r>
            <w:r>
              <w:rPr>
                <w:rFonts w:hint="eastAsia" w:ascii="宋体" w:hAnsi="宋体" w:eastAsia="宋体"/>
                <w:color w:val="auto"/>
                <w:szCs w:val="21"/>
              </w:rPr>
              <w:cr/>
            </w:r>
            <w:r>
              <w:rPr>
                <w:rFonts w:hint="eastAsia" w:ascii="宋体" w:hAnsi="宋体" w:eastAsia="宋体"/>
                <w:color w:val="auto"/>
                <w:szCs w:val="21"/>
              </w:rPr>
              <w:t>4、采用直径≤10mm绳索，断裂负荷≥18kN，长度≥15米；绳子可浮在水面上；</w:t>
            </w:r>
            <w:r>
              <w:rPr>
                <w:rFonts w:hint="eastAsia" w:ascii="宋体" w:hAnsi="宋体" w:eastAsia="宋体"/>
                <w:color w:val="auto"/>
                <w:szCs w:val="21"/>
              </w:rPr>
              <w:cr/>
            </w:r>
            <w:r>
              <w:rPr>
                <w:rFonts w:hint="eastAsia" w:ascii="宋体" w:hAnsi="宋体" w:eastAsia="宋体"/>
                <w:color w:val="auto"/>
                <w:szCs w:val="21"/>
              </w:rPr>
              <w:t>5、完全收纳配用绳索后，经48H的漂浮性能试验，抛绳包始终漂浮在水面上；</w:t>
            </w:r>
          </w:p>
          <w:p w14:paraId="6AB38758">
            <w:pPr>
              <w:numPr>
                <w:ilvl w:val="0"/>
                <w:numId w:val="0"/>
              </w:numPr>
              <w:spacing w:line="360" w:lineRule="auto"/>
              <w:jc w:val="left"/>
              <w:rPr>
                <w:rFonts w:hint="eastAsia" w:ascii="宋体" w:hAnsi="宋体" w:eastAsia="宋体"/>
                <w:color w:val="auto"/>
                <w:szCs w:val="21"/>
              </w:rPr>
            </w:pPr>
            <w:r>
              <w:rPr>
                <w:rFonts w:hint="eastAsia" w:ascii="宋体" w:hAnsi="宋体" w:eastAsia="宋体"/>
                <w:color w:val="auto"/>
                <w:szCs w:val="21"/>
              </w:rPr>
              <w:cr/>
            </w:r>
            <w:r>
              <w:rPr>
                <w:rFonts w:hint="eastAsia" w:ascii="宋体" w:hAnsi="宋体" w:eastAsia="宋体"/>
                <w:color w:val="auto"/>
                <w:szCs w:val="21"/>
              </w:rPr>
              <w:t>6、参照《消防水域救援个人防护装备试验大纲》的标准，提供抛绳包</w:t>
            </w:r>
            <w:r>
              <w:rPr>
                <w:rFonts w:hint="eastAsia" w:ascii="宋体" w:hAnsi="宋体" w:eastAsia="宋体"/>
                <w:color w:val="auto"/>
                <w:szCs w:val="21"/>
                <w:lang w:eastAsia="zh-CN"/>
              </w:rPr>
              <w:t>的</w:t>
            </w:r>
            <w:r>
              <w:rPr>
                <w:rFonts w:hint="eastAsia" w:ascii="宋体" w:hAnsi="宋体" w:eastAsia="宋体"/>
                <w:color w:val="auto"/>
                <w:szCs w:val="21"/>
              </w:rPr>
              <w:t>国家消防装备质量检验检测中心或其他国家认可的权威检验机构出具的检测报告复印件。</w:t>
            </w:r>
          </w:p>
        </w:tc>
        <w:tc>
          <w:tcPr>
            <w:tcW w:w="1176" w:type="pct"/>
            <w:vAlign w:val="center"/>
          </w:tcPr>
          <w:p w14:paraId="045C224D">
            <w:pPr>
              <w:spacing w:line="360" w:lineRule="auto"/>
              <w:jc w:val="center"/>
              <w:rPr>
                <w:rFonts w:hint="eastAsia" w:ascii="宋体" w:hAnsi="宋体" w:eastAsia="宋体"/>
                <w:color w:val="auto"/>
                <w:szCs w:val="21"/>
              </w:rPr>
            </w:pPr>
            <w:r>
              <w:rPr>
                <w:rFonts w:ascii="宋体" w:hAnsi="宋体" w:eastAsia="宋体"/>
                <w:color w:val="auto"/>
                <w:szCs w:val="21"/>
              </w:rPr>
              <w:drawing>
                <wp:inline distT="0" distB="0" distL="0" distR="0">
                  <wp:extent cx="1179830" cy="1562100"/>
                  <wp:effectExtent l="0" t="0" r="127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noChangeArrowheads="1"/>
                          </pic:cNvPicPr>
                        </pic:nvPicPr>
                        <pic:blipFill>
                          <a:blip r:embed="rId11">
                            <a:extLst>
                              <a:ext uri="{28A0092B-C50C-407E-A947-70E740481C1C}">
                                <a14:useLocalDpi xmlns:a14="http://schemas.microsoft.com/office/drawing/2010/main" val="0"/>
                              </a:ext>
                            </a:extLst>
                          </a:blip>
                          <a:srcRect b="3743"/>
                          <a:stretch>
                            <a:fillRect/>
                          </a:stretch>
                        </pic:blipFill>
                        <pic:spPr>
                          <a:xfrm>
                            <a:off x="0" y="0"/>
                            <a:ext cx="1180676" cy="1562660"/>
                          </a:xfrm>
                          <a:prstGeom prst="rect">
                            <a:avLst/>
                          </a:prstGeom>
                          <a:noFill/>
                          <a:ln>
                            <a:noFill/>
                          </a:ln>
                        </pic:spPr>
                      </pic:pic>
                    </a:graphicData>
                  </a:graphic>
                </wp:inline>
              </w:drawing>
            </w:r>
          </w:p>
        </w:tc>
      </w:tr>
      <w:tr w14:paraId="756F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58712AB8">
            <w:pPr>
              <w:spacing w:line="360" w:lineRule="auto"/>
              <w:jc w:val="center"/>
              <w:rPr>
                <w:rFonts w:hint="eastAsia" w:ascii="宋体" w:hAnsi="宋体" w:eastAsia="宋体"/>
                <w:color w:val="auto"/>
                <w:szCs w:val="21"/>
              </w:rPr>
            </w:pPr>
            <w:r>
              <w:rPr>
                <w:rFonts w:hint="eastAsia" w:ascii="宋体" w:hAnsi="宋体" w:eastAsia="宋体"/>
                <w:color w:val="auto"/>
                <w:szCs w:val="21"/>
              </w:rPr>
              <w:t>9</w:t>
            </w:r>
          </w:p>
        </w:tc>
        <w:tc>
          <w:tcPr>
            <w:tcW w:w="611" w:type="pct"/>
            <w:vAlign w:val="center"/>
          </w:tcPr>
          <w:p w14:paraId="0880C025">
            <w:pPr>
              <w:spacing w:line="360" w:lineRule="auto"/>
              <w:jc w:val="center"/>
              <w:rPr>
                <w:rFonts w:hint="eastAsia" w:ascii="宋体" w:hAnsi="宋体" w:eastAsia="宋体"/>
                <w:color w:val="auto"/>
                <w:szCs w:val="21"/>
              </w:rPr>
            </w:pPr>
            <w:r>
              <w:rPr>
                <w:rFonts w:hint="eastAsia" w:ascii="宋体" w:hAnsi="宋体" w:eastAsia="宋体"/>
                <w:color w:val="auto"/>
                <w:szCs w:val="21"/>
              </w:rPr>
              <w:t>救生圈</w:t>
            </w:r>
          </w:p>
        </w:tc>
        <w:tc>
          <w:tcPr>
            <w:tcW w:w="2643" w:type="pct"/>
            <w:vAlign w:val="center"/>
          </w:tcPr>
          <w:p w14:paraId="217C47CE">
            <w:pPr>
              <w:spacing w:line="360" w:lineRule="auto"/>
              <w:jc w:val="left"/>
              <w:rPr>
                <w:rFonts w:hint="eastAsia" w:ascii="宋体" w:hAnsi="宋体" w:eastAsia="宋体"/>
                <w:color w:val="auto"/>
                <w:szCs w:val="21"/>
              </w:rPr>
            </w:pPr>
            <w:r>
              <w:rPr>
                <w:rFonts w:hint="eastAsia" w:ascii="宋体" w:hAnsi="宋体" w:eastAsia="宋体"/>
                <w:color w:val="auto"/>
                <w:szCs w:val="21"/>
              </w:rPr>
              <w:t>1：颜色：橙色；</w:t>
            </w:r>
            <w:r>
              <w:rPr>
                <w:rFonts w:hint="eastAsia" w:ascii="宋体" w:hAnsi="宋体" w:eastAsia="宋体"/>
                <w:color w:val="auto"/>
                <w:szCs w:val="21"/>
              </w:rPr>
              <w:cr/>
            </w:r>
            <w:r>
              <w:rPr>
                <w:rFonts w:hint="eastAsia" w:ascii="宋体" w:hAnsi="宋体" w:eastAsia="宋体"/>
                <w:color w:val="auto"/>
                <w:szCs w:val="21"/>
              </w:rPr>
              <w:t>2：材料：救生圈外壳采用高强度聚乙烯塑料，聚氨脂泡沫为填充物。</w:t>
            </w:r>
            <w:r>
              <w:rPr>
                <w:rFonts w:hint="eastAsia" w:ascii="宋体" w:hAnsi="宋体" w:eastAsia="宋体"/>
                <w:color w:val="auto"/>
                <w:szCs w:val="21"/>
              </w:rPr>
              <w:cr/>
            </w:r>
            <w:r>
              <w:rPr>
                <w:rFonts w:hint="eastAsia" w:ascii="宋体" w:hAnsi="宋体" w:eastAsia="宋体"/>
                <w:color w:val="auto"/>
                <w:szCs w:val="21"/>
              </w:rPr>
              <w:t>3：外型尺寸：外径720mm，内径440mm，厚度105mm,重量≥2.5KG；</w:t>
            </w:r>
            <w:r>
              <w:rPr>
                <w:rFonts w:hint="eastAsia" w:ascii="宋体" w:hAnsi="宋体" w:eastAsia="宋体"/>
                <w:color w:val="auto"/>
                <w:szCs w:val="21"/>
              </w:rPr>
              <w:cr/>
            </w:r>
            <w:r>
              <w:rPr>
                <w:rFonts w:hint="eastAsia" w:ascii="宋体" w:hAnsi="宋体" w:eastAsia="宋体"/>
                <w:color w:val="auto"/>
                <w:szCs w:val="21"/>
              </w:rPr>
              <w:t>4：浮力：≥14.5kg；</w:t>
            </w:r>
            <w:r>
              <w:rPr>
                <w:rFonts w:hint="eastAsia" w:ascii="宋体" w:hAnsi="宋体" w:eastAsia="宋体"/>
                <w:color w:val="auto"/>
                <w:szCs w:val="21"/>
              </w:rPr>
              <w:cr/>
            </w:r>
            <w:r>
              <w:rPr>
                <w:rFonts w:hint="eastAsia" w:ascii="宋体" w:hAnsi="宋体" w:eastAsia="宋体"/>
                <w:color w:val="auto"/>
                <w:szCs w:val="21"/>
              </w:rPr>
              <w:t>5：手把索：直径≥9.5mm,长度不小于外径的4倍，并分成4段相等的环圈固定之。</w:t>
            </w:r>
            <w:r>
              <w:rPr>
                <w:rFonts w:hint="eastAsia" w:ascii="宋体" w:hAnsi="宋体" w:eastAsia="宋体"/>
                <w:color w:val="auto"/>
                <w:szCs w:val="21"/>
              </w:rPr>
              <w:cr/>
            </w:r>
            <w:r>
              <w:rPr>
                <w:rFonts w:hint="eastAsia" w:ascii="宋体" w:hAnsi="宋体" w:eastAsia="宋体"/>
                <w:color w:val="auto"/>
                <w:szCs w:val="21"/>
              </w:rPr>
              <w:t>6：反光材料：应有5CM宽度的反光材料在四个相等间距环绕救生圈体的两边装配。</w:t>
            </w:r>
            <w:r>
              <w:rPr>
                <w:rFonts w:hint="eastAsia" w:ascii="宋体" w:hAnsi="宋体" w:eastAsia="宋体"/>
                <w:color w:val="auto"/>
                <w:szCs w:val="21"/>
              </w:rPr>
              <w:cr/>
            </w:r>
            <w:r>
              <w:rPr>
                <w:rFonts w:hint="eastAsia" w:ascii="宋体" w:hAnsi="宋体" w:eastAsia="宋体"/>
                <w:color w:val="auto"/>
                <w:szCs w:val="21"/>
              </w:rPr>
              <w:t>7：投落试验：30米高度的救生圈投入水中而损坏。</w:t>
            </w:r>
            <w:bookmarkStart w:id="12" w:name="_GoBack"/>
            <w:bookmarkEnd w:id="12"/>
            <w:r>
              <w:rPr>
                <w:rFonts w:hint="eastAsia" w:ascii="宋体" w:hAnsi="宋体" w:eastAsia="宋体"/>
                <w:color w:val="auto"/>
                <w:szCs w:val="21"/>
              </w:rPr>
              <w:cr/>
            </w:r>
            <w:r>
              <w:rPr>
                <w:rFonts w:hint="eastAsia" w:ascii="宋体" w:hAnsi="宋体" w:eastAsia="宋体"/>
                <w:color w:val="auto"/>
                <w:szCs w:val="21"/>
              </w:rPr>
              <w:t>8：漂浮试验：在淡水中支承不小于14.5KG的铁块，浮在水中，应能保持浮起24小时。</w:t>
            </w:r>
            <w:r>
              <w:rPr>
                <w:rFonts w:hint="eastAsia" w:ascii="宋体" w:hAnsi="宋体" w:eastAsia="宋体"/>
                <w:color w:val="auto"/>
                <w:szCs w:val="21"/>
              </w:rPr>
              <w:cr/>
            </w:r>
            <w:r>
              <w:rPr>
                <w:rFonts w:hint="eastAsia" w:ascii="宋体" w:hAnsi="宋体" w:eastAsia="宋体"/>
                <w:color w:val="auto"/>
                <w:szCs w:val="21"/>
              </w:rPr>
              <w:t>9：参照1974年《国际海上人命安全公约》及修正案，第Ⅲ章，第4、7和34条；经MSC.207(81)修正的MSC.48(66)《国际救生设备规则》第Ⅰ、Ⅱ章；经MSC.200(80)、MSC.226(82)修正的MSC.81(70)《经修正的救生设备试验建议》第1部分，第1节;第2部分，第3节的标准，提供</w:t>
            </w:r>
            <w:r>
              <w:rPr>
                <w:rFonts w:hint="eastAsia" w:ascii="宋体" w:hAnsi="宋体" w:eastAsia="宋体"/>
                <w:color w:val="auto"/>
                <w:szCs w:val="21"/>
                <w:lang w:eastAsia="zh-CN"/>
              </w:rPr>
              <w:t>救生圈的</w:t>
            </w:r>
            <w:r>
              <w:rPr>
                <w:rFonts w:hint="eastAsia" w:ascii="宋体" w:hAnsi="宋体" w:eastAsia="宋体"/>
                <w:color w:val="auto"/>
                <w:szCs w:val="21"/>
              </w:rPr>
              <w:t>国家消防装备质量检验检测中心或其他国家认可的权威检验机构出具的检测报告复印件。</w:t>
            </w:r>
          </w:p>
        </w:tc>
        <w:tc>
          <w:tcPr>
            <w:tcW w:w="1176" w:type="pct"/>
            <w:vAlign w:val="center"/>
          </w:tcPr>
          <w:p w14:paraId="37DB5C43">
            <w:pPr>
              <w:spacing w:line="360" w:lineRule="auto"/>
              <w:jc w:val="center"/>
              <w:rPr>
                <w:rFonts w:hint="eastAsia" w:ascii="宋体" w:hAnsi="宋体" w:eastAsia="宋体"/>
                <w:color w:val="auto"/>
                <w:szCs w:val="21"/>
              </w:rPr>
            </w:pPr>
            <w:r>
              <w:rPr>
                <w:color w:val="auto"/>
              </w:rPr>
              <w:drawing>
                <wp:inline distT="0" distB="0" distL="0" distR="0">
                  <wp:extent cx="1229995" cy="882015"/>
                  <wp:effectExtent l="0" t="0" r="8255"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41026" cy="890175"/>
                          </a:xfrm>
                          <a:prstGeom prst="rect">
                            <a:avLst/>
                          </a:prstGeom>
                          <a:noFill/>
                          <a:ln>
                            <a:noFill/>
                          </a:ln>
                        </pic:spPr>
                      </pic:pic>
                    </a:graphicData>
                  </a:graphic>
                </wp:inline>
              </w:drawing>
            </w:r>
          </w:p>
        </w:tc>
      </w:tr>
    </w:tbl>
    <w:p w14:paraId="4BCB1637">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六、评审标准</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851"/>
        <w:gridCol w:w="6129"/>
        <w:gridCol w:w="851"/>
        <w:gridCol w:w="939"/>
      </w:tblGrid>
      <w:tr w14:paraId="2824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9202B66">
            <w:pPr>
              <w:spacing w:line="360" w:lineRule="auto"/>
              <w:jc w:val="center"/>
              <w:rPr>
                <w:rFonts w:hint="eastAsia" w:ascii="宋体" w:hAnsi="宋体" w:eastAsia="宋体"/>
                <w:b/>
                <w:bCs/>
                <w:sz w:val="24"/>
              </w:rPr>
            </w:pPr>
            <w:r>
              <w:rPr>
                <w:rFonts w:ascii="宋体" w:hAnsi="宋体" w:eastAsia="宋体"/>
                <w:b/>
                <w:bCs/>
                <w:sz w:val="24"/>
              </w:rPr>
              <w:t>评审</w:t>
            </w:r>
            <w:r>
              <w:rPr>
                <w:rFonts w:hint="eastAsia" w:ascii="宋体" w:hAnsi="宋体" w:eastAsia="宋体"/>
                <w:b/>
                <w:bCs/>
                <w:sz w:val="24"/>
              </w:rPr>
              <w:t>部分</w:t>
            </w:r>
          </w:p>
        </w:tc>
        <w:tc>
          <w:tcPr>
            <w:tcW w:w="851" w:type="dxa"/>
            <w:vAlign w:val="center"/>
          </w:tcPr>
          <w:p w14:paraId="722DC5B6">
            <w:pPr>
              <w:spacing w:line="360" w:lineRule="auto"/>
              <w:jc w:val="center"/>
              <w:rPr>
                <w:rFonts w:hint="eastAsia" w:ascii="宋体" w:hAnsi="宋体" w:eastAsia="宋体"/>
                <w:b/>
                <w:bCs/>
                <w:sz w:val="24"/>
              </w:rPr>
            </w:pPr>
            <w:r>
              <w:rPr>
                <w:rFonts w:ascii="宋体" w:hAnsi="宋体" w:eastAsia="宋体"/>
                <w:b/>
                <w:bCs/>
                <w:sz w:val="24"/>
              </w:rPr>
              <w:t>评审</w:t>
            </w:r>
            <w:r>
              <w:rPr>
                <w:rFonts w:hint="eastAsia" w:ascii="宋体" w:hAnsi="宋体" w:eastAsia="宋体"/>
                <w:b/>
                <w:bCs/>
                <w:sz w:val="24"/>
              </w:rPr>
              <w:t>因素</w:t>
            </w:r>
          </w:p>
        </w:tc>
        <w:tc>
          <w:tcPr>
            <w:tcW w:w="6129" w:type="dxa"/>
            <w:vAlign w:val="center"/>
          </w:tcPr>
          <w:p w14:paraId="6106D944">
            <w:pPr>
              <w:spacing w:line="360" w:lineRule="auto"/>
              <w:jc w:val="center"/>
              <w:rPr>
                <w:rFonts w:hint="eastAsia" w:ascii="宋体" w:hAnsi="宋体" w:eastAsia="宋体"/>
                <w:b/>
                <w:bCs/>
                <w:sz w:val="24"/>
              </w:rPr>
            </w:pPr>
            <w:r>
              <w:rPr>
                <w:rFonts w:ascii="宋体" w:hAnsi="宋体" w:eastAsia="宋体"/>
                <w:b/>
                <w:bCs/>
                <w:sz w:val="24"/>
              </w:rPr>
              <w:t>评审</w:t>
            </w:r>
            <w:r>
              <w:rPr>
                <w:rFonts w:hint="eastAsia" w:ascii="宋体" w:hAnsi="宋体" w:eastAsia="宋体"/>
                <w:b/>
                <w:bCs/>
                <w:sz w:val="24"/>
              </w:rPr>
              <w:t>细则</w:t>
            </w:r>
          </w:p>
        </w:tc>
        <w:tc>
          <w:tcPr>
            <w:tcW w:w="851" w:type="dxa"/>
            <w:vAlign w:val="center"/>
          </w:tcPr>
          <w:p w14:paraId="5EC9F32C">
            <w:pPr>
              <w:spacing w:line="360" w:lineRule="auto"/>
              <w:jc w:val="center"/>
              <w:rPr>
                <w:rFonts w:hint="eastAsia" w:ascii="宋体" w:hAnsi="宋体" w:eastAsia="宋体"/>
                <w:szCs w:val="21"/>
              </w:rPr>
            </w:pPr>
            <w:r>
              <w:rPr>
                <w:rFonts w:hint="eastAsia" w:ascii="宋体" w:hAnsi="宋体" w:eastAsia="宋体" w:cs="宋体"/>
                <w:b/>
                <w:sz w:val="24"/>
              </w:rPr>
              <w:t>权重（%）</w:t>
            </w:r>
          </w:p>
        </w:tc>
        <w:tc>
          <w:tcPr>
            <w:tcW w:w="939" w:type="dxa"/>
            <w:vAlign w:val="center"/>
          </w:tcPr>
          <w:p w14:paraId="0482C74A">
            <w:pPr>
              <w:spacing w:line="360" w:lineRule="auto"/>
              <w:jc w:val="center"/>
              <w:rPr>
                <w:rFonts w:hint="eastAsia" w:ascii="宋体" w:hAnsi="宋体" w:eastAsia="宋体"/>
                <w:szCs w:val="21"/>
              </w:rPr>
            </w:pPr>
            <w:r>
              <w:rPr>
                <w:rFonts w:hint="eastAsia" w:ascii="宋体" w:hAnsi="宋体" w:eastAsia="宋体" w:cs="宋体"/>
                <w:b/>
                <w:sz w:val="24"/>
              </w:rPr>
              <w:t>分值（分）</w:t>
            </w:r>
          </w:p>
        </w:tc>
      </w:tr>
      <w:tr w14:paraId="328C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A6E4672">
            <w:pPr>
              <w:spacing w:line="360" w:lineRule="auto"/>
              <w:jc w:val="center"/>
              <w:rPr>
                <w:rFonts w:hint="eastAsia" w:ascii="宋体" w:hAnsi="宋体" w:eastAsia="宋体"/>
                <w:b/>
                <w:bCs/>
                <w:sz w:val="24"/>
              </w:rPr>
            </w:pPr>
            <w:r>
              <w:rPr>
                <w:rFonts w:hint="eastAsia" w:ascii="宋体" w:hAnsi="宋体" w:eastAsia="宋体"/>
                <w:b/>
                <w:bCs/>
                <w:sz w:val="24"/>
              </w:rPr>
              <w:t>一</w:t>
            </w:r>
          </w:p>
        </w:tc>
        <w:tc>
          <w:tcPr>
            <w:tcW w:w="8770" w:type="dxa"/>
            <w:gridSpan w:val="4"/>
            <w:vAlign w:val="center"/>
          </w:tcPr>
          <w:p w14:paraId="439126DB">
            <w:pPr>
              <w:spacing w:line="360" w:lineRule="auto"/>
              <w:jc w:val="center"/>
              <w:rPr>
                <w:rFonts w:hint="eastAsia" w:ascii="宋体" w:hAnsi="宋体" w:eastAsia="宋体" w:cs="宋体"/>
                <w:b/>
                <w:sz w:val="24"/>
              </w:rPr>
            </w:pPr>
            <w:r>
              <w:rPr>
                <w:rFonts w:hint="eastAsia" w:ascii="宋体" w:hAnsi="宋体" w:eastAsia="宋体" w:cs="宋体"/>
                <w:b/>
                <w:sz w:val="24"/>
              </w:rPr>
              <w:t>价格部分（合计</w:t>
            </w:r>
            <w:r>
              <w:rPr>
                <w:rFonts w:hint="eastAsia" w:ascii="宋体" w:hAnsi="宋体" w:cs="宋体"/>
                <w:b/>
                <w:sz w:val="24"/>
              </w:rPr>
              <w:t>30</w:t>
            </w:r>
            <w:r>
              <w:rPr>
                <w:rFonts w:hint="eastAsia" w:ascii="宋体" w:hAnsi="宋体" w:eastAsia="宋体" w:cs="宋体"/>
                <w:b/>
                <w:sz w:val="24"/>
              </w:rPr>
              <w:t>分）</w:t>
            </w:r>
          </w:p>
        </w:tc>
      </w:tr>
      <w:tr w14:paraId="35AC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19E7549">
            <w:pPr>
              <w:spacing w:line="360" w:lineRule="auto"/>
              <w:jc w:val="center"/>
              <w:rPr>
                <w:rFonts w:hint="eastAsia" w:ascii="宋体" w:hAnsi="宋体" w:eastAsia="宋体"/>
                <w:b/>
                <w:bCs/>
                <w:szCs w:val="21"/>
              </w:rPr>
            </w:pPr>
            <w:r>
              <w:rPr>
                <w:rFonts w:hint="eastAsia" w:ascii="宋体" w:hAnsi="宋体" w:eastAsia="宋体"/>
                <w:b/>
                <w:bCs/>
                <w:szCs w:val="21"/>
              </w:rPr>
              <w:t>1</w:t>
            </w:r>
          </w:p>
        </w:tc>
        <w:tc>
          <w:tcPr>
            <w:tcW w:w="851" w:type="dxa"/>
            <w:vAlign w:val="center"/>
          </w:tcPr>
          <w:p w14:paraId="470662A9">
            <w:pPr>
              <w:spacing w:line="360" w:lineRule="auto"/>
              <w:jc w:val="center"/>
              <w:rPr>
                <w:rFonts w:hint="eastAsia" w:ascii="宋体" w:hAnsi="宋体" w:eastAsia="宋体"/>
                <w:b/>
                <w:bCs/>
                <w:szCs w:val="21"/>
              </w:rPr>
            </w:pPr>
            <w:r>
              <w:rPr>
                <w:rFonts w:ascii="宋体" w:hAnsi="宋体" w:eastAsia="宋体"/>
              </w:rPr>
              <w:t xml:space="preserve">投标报价 </w:t>
            </w:r>
          </w:p>
        </w:tc>
        <w:tc>
          <w:tcPr>
            <w:tcW w:w="6129" w:type="dxa"/>
            <w:vAlign w:val="center"/>
          </w:tcPr>
          <w:p w14:paraId="5B03D1DF">
            <w:pPr>
              <w:spacing w:line="360" w:lineRule="auto"/>
              <w:ind w:firstLine="420" w:firstLineChars="200"/>
              <w:jc w:val="left"/>
              <w:rPr>
                <w:rFonts w:hint="eastAsia" w:ascii="宋体" w:hAnsi="宋体" w:eastAsia="宋体"/>
                <w:szCs w:val="21"/>
              </w:rPr>
            </w:pPr>
            <w:r>
              <w:rPr>
                <w:rFonts w:hint="eastAsia" w:ascii="宋体" w:hAnsi="宋体" w:eastAsia="宋体"/>
                <w:szCs w:val="21"/>
              </w:rPr>
              <w:t>本项目价格评分采用低价优先法计算，即满足招标文件要求且投标价格最低的投标报价为评标基准价，其价格分为满分。其他投标人的价格分统一按照下列公式计算：投标报价得分=(评标基准价／投标报价)×100×权重。</w:t>
            </w:r>
          </w:p>
          <w:p w14:paraId="3C97481B">
            <w:pPr>
              <w:spacing w:line="360" w:lineRule="auto"/>
              <w:ind w:firstLine="420" w:firstLineChars="200"/>
              <w:jc w:val="left"/>
              <w:rPr>
                <w:rFonts w:hint="eastAsia" w:ascii="宋体" w:hAnsi="宋体" w:eastAsia="宋体"/>
                <w:szCs w:val="21"/>
              </w:rPr>
            </w:pPr>
            <w:r>
              <w:rPr>
                <w:rFonts w:hint="eastAsia" w:ascii="宋体" w:hAnsi="宋体" w:eastAsia="宋体"/>
                <w:szCs w:val="21"/>
              </w:rPr>
              <w:t>评标基准价：满足招标文件要求，最低有效报价为评标基准价。（报价得分四舍五入后保留小数点后两位）。</w:t>
            </w:r>
          </w:p>
          <w:p w14:paraId="12B60376">
            <w:pPr>
              <w:spacing w:line="360" w:lineRule="auto"/>
              <w:ind w:firstLine="420" w:firstLineChars="200"/>
              <w:jc w:val="left"/>
              <w:rPr>
                <w:rFonts w:hint="eastAsia" w:ascii="宋体" w:hAnsi="宋体" w:eastAsia="宋体"/>
                <w:szCs w:val="21"/>
              </w:rPr>
            </w:pPr>
            <w:r>
              <w:rPr>
                <w:rFonts w:hint="eastAsia" w:ascii="宋体" w:hAnsi="宋体" w:eastAsia="宋体"/>
                <w:szCs w:val="21"/>
              </w:rPr>
              <w:t>对非专门面向中小企业采购的标包，将按落实政府采购促进中小企业发展等政策功能进行价格调整，以调整后的价格计算评标基准价和投标报价。符合招标文件规定的小微企业、监狱企业、残疾人福利单位优惠条件的投标人，价格给予10%的扣除，用扣除后的价格参与评审。</w:t>
            </w:r>
          </w:p>
        </w:tc>
        <w:tc>
          <w:tcPr>
            <w:tcW w:w="851" w:type="dxa"/>
            <w:vAlign w:val="center"/>
          </w:tcPr>
          <w:p w14:paraId="6BAF7C90">
            <w:pPr>
              <w:spacing w:line="360" w:lineRule="auto"/>
              <w:jc w:val="center"/>
              <w:rPr>
                <w:rFonts w:hint="eastAsia" w:ascii="宋体" w:hAnsi="宋体" w:eastAsia="宋体"/>
                <w:szCs w:val="21"/>
              </w:rPr>
            </w:pPr>
            <w:r>
              <w:rPr>
                <w:rFonts w:ascii="宋体" w:hAnsi="宋体" w:eastAsia="宋体"/>
              </w:rPr>
              <w:t>30</w:t>
            </w:r>
          </w:p>
        </w:tc>
        <w:tc>
          <w:tcPr>
            <w:tcW w:w="939" w:type="dxa"/>
            <w:vAlign w:val="center"/>
          </w:tcPr>
          <w:p w14:paraId="464A9114">
            <w:pPr>
              <w:spacing w:line="360" w:lineRule="auto"/>
              <w:jc w:val="center"/>
              <w:rPr>
                <w:rFonts w:hint="eastAsia" w:ascii="宋体" w:hAnsi="宋体" w:eastAsia="宋体"/>
              </w:rPr>
            </w:pPr>
            <w:r>
              <w:rPr>
                <w:rFonts w:ascii="宋体" w:hAnsi="宋体" w:eastAsia="宋体"/>
              </w:rPr>
              <w:t>30</w:t>
            </w:r>
          </w:p>
        </w:tc>
      </w:tr>
      <w:tr w14:paraId="6A35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8C3B2E9">
            <w:pPr>
              <w:spacing w:line="360" w:lineRule="auto"/>
              <w:jc w:val="center"/>
              <w:rPr>
                <w:rFonts w:hint="eastAsia" w:ascii="宋体" w:hAnsi="宋体" w:eastAsia="宋体"/>
                <w:b/>
                <w:bCs/>
                <w:szCs w:val="21"/>
              </w:rPr>
            </w:pPr>
            <w:r>
              <w:rPr>
                <w:rFonts w:hint="eastAsia" w:ascii="宋体" w:hAnsi="宋体" w:eastAsia="宋体"/>
                <w:b/>
                <w:bCs/>
                <w:szCs w:val="21"/>
              </w:rPr>
              <w:t>二</w:t>
            </w:r>
          </w:p>
        </w:tc>
        <w:tc>
          <w:tcPr>
            <w:tcW w:w="8770" w:type="dxa"/>
            <w:gridSpan w:val="4"/>
            <w:vAlign w:val="center"/>
          </w:tcPr>
          <w:p w14:paraId="46B35E4D">
            <w:pPr>
              <w:spacing w:line="360" w:lineRule="auto"/>
              <w:jc w:val="center"/>
              <w:rPr>
                <w:rFonts w:hint="eastAsia" w:ascii="宋体" w:hAnsi="宋体" w:eastAsia="宋体"/>
              </w:rPr>
            </w:pPr>
            <w:r>
              <w:rPr>
                <w:rFonts w:hint="eastAsia" w:ascii="宋体" w:hAnsi="宋体" w:eastAsia="宋体" w:cs="宋体"/>
                <w:b/>
                <w:sz w:val="24"/>
              </w:rPr>
              <w:t>技术部分（合计</w:t>
            </w:r>
            <w:r>
              <w:rPr>
                <w:rFonts w:hint="eastAsia" w:ascii="宋体" w:hAnsi="宋体" w:cs="宋体"/>
                <w:b/>
                <w:sz w:val="24"/>
              </w:rPr>
              <w:t>50</w:t>
            </w:r>
            <w:r>
              <w:rPr>
                <w:rFonts w:hint="eastAsia" w:ascii="宋体" w:hAnsi="宋体" w:eastAsia="宋体" w:cs="宋体"/>
                <w:b/>
                <w:sz w:val="24"/>
              </w:rPr>
              <w:t>分）</w:t>
            </w:r>
          </w:p>
        </w:tc>
      </w:tr>
      <w:tr w14:paraId="2C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0627FDA">
            <w:pPr>
              <w:spacing w:line="360" w:lineRule="auto"/>
              <w:jc w:val="center"/>
              <w:rPr>
                <w:rFonts w:hint="eastAsia" w:ascii="宋体" w:hAnsi="宋体" w:eastAsia="宋体"/>
                <w:szCs w:val="21"/>
              </w:rPr>
            </w:pPr>
            <w:r>
              <w:rPr>
                <w:rFonts w:hint="eastAsia" w:ascii="宋体" w:hAnsi="宋体" w:eastAsia="宋体" w:cs="宋体"/>
                <w:kern w:val="0"/>
                <w:sz w:val="24"/>
              </w:rPr>
              <w:t>1</w:t>
            </w:r>
          </w:p>
        </w:tc>
        <w:tc>
          <w:tcPr>
            <w:tcW w:w="851" w:type="dxa"/>
            <w:vAlign w:val="center"/>
          </w:tcPr>
          <w:p w14:paraId="7DCF9839">
            <w:pPr>
              <w:spacing w:line="360" w:lineRule="auto"/>
              <w:jc w:val="center"/>
              <w:rPr>
                <w:rFonts w:hint="eastAsia" w:ascii="宋体" w:hAnsi="宋体" w:eastAsia="宋体"/>
                <w:szCs w:val="21"/>
              </w:rPr>
            </w:pPr>
            <w:r>
              <w:rPr>
                <w:rFonts w:hint="eastAsia" w:ascii="宋体" w:hAnsi="宋体" w:eastAsia="宋体" w:cs="宋体"/>
                <w:kern w:val="0"/>
                <w:sz w:val="24"/>
              </w:rPr>
              <w:t>技术要求偏离情况</w:t>
            </w:r>
          </w:p>
        </w:tc>
        <w:tc>
          <w:tcPr>
            <w:tcW w:w="6129" w:type="dxa"/>
            <w:vAlign w:val="center"/>
          </w:tcPr>
          <w:p w14:paraId="200FAE3B">
            <w:pPr>
              <w:widowControl/>
              <w:numPr>
                <w:ilvl w:val="0"/>
                <w:numId w:val="4"/>
              </w:numPr>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b/>
                <w:bCs/>
                <w:kern w:val="0"/>
                <w:sz w:val="24"/>
              </w:rPr>
              <w:t>评分内容：</w:t>
            </w:r>
            <w:r>
              <w:rPr>
                <w:rFonts w:hint="eastAsia" w:ascii="宋体" w:hAnsi="宋体" w:eastAsia="宋体" w:cs="宋体"/>
                <w:kern w:val="0"/>
                <w:sz w:val="24"/>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eastAsia="宋体" w:cs="宋体"/>
                <w:kern w:val="0"/>
                <w:sz w:val="24"/>
                <w:lang w:val="en-US" w:eastAsia="zh-CN"/>
              </w:rPr>
              <w:t>3</w:t>
            </w:r>
            <w:r>
              <w:rPr>
                <w:rFonts w:hint="eastAsia" w:ascii="宋体" w:hAnsi="宋体" w:eastAsia="宋体" w:cs="宋体"/>
                <w:kern w:val="0"/>
                <w:sz w:val="24"/>
              </w:rPr>
              <w:t>分，一般参数每负偏离一条扣</w:t>
            </w:r>
            <w:r>
              <w:rPr>
                <w:rFonts w:hint="eastAsia" w:ascii="宋体" w:hAnsi="宋体" w:eastAsia="宋体" w:cs="宋体"/>
                <w:kern w:val="0"/>
                <w:sz w:val="24"/>
                <w:lang w:val="en-US" w:eastAsia="zh-CN"/>
              </w:rPr>
              <w:t>1</w:t>
            </w:r>
            <w:r>
              <w:rPr>
                <w:rFonts w:hint="eastAsia" w:ascii="宋体" w:hAnsi="宋体" w:eastAsia="宋体" w:cs="宋体"/>
                <w:kern w:val="0"/>
                <w:sz w:val="24"/>
              </w:rPr>
              <w:t>分，</w:t>
            </w:r>
            <w:r>
              <w:rPr>
                <w:rFonts w:hint="eastAsia" w:ascii="宋体" w:hAnsi="宋体" w:cs="宋体"/>
                <w:kern w:val="0"/>
                <w:sz w:val="24"/>
              </w:rPr>
              <w:t>本项最低得0分</w:t>
            </w:r>
            <w:r>
              <w:rPr>
                <w:rFonts w:hint="eastAsia" w:ascii="宋体" w:hAnsi="宋体" w:eastAsia="宋体" w:cs="宋体"/>
                <w:kern w:val="0"/>
                <w:sz w:val="24"/>
              </w:rPr>
              <w:t>。</w:t>
            </w:r>
            <w:r>
              <w:rPr>
                <w:rFonts w:hint="eastAsia" w:ascii="宋体" w:hAnsi="宋体" w:eastAsia="宋体" w:cs="宋体"/>
                <w:sz w:val="24"/>
              </w:rPr>
              <w:t>（有“★”的条款为实质性条款，不参与评分）</w:t>
            </w:r>
          </w:p>
          <w:p w14:paraId="149BDA17">
            <w:pPr>
              <w:widowControl/>
              <w:numPr>
                <w:ilvl w:val="0"/>
                <w:numId w:val="4"/>
              </w:numPr>
              <w:adjustRightInd w:val="0"/>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评分依据：</w:t>
            </w:r>
          </w:p>
          <w:p w14:paraId="3A0A50DD">
            <w:pPr>
              <w:adjustRightInd w:val="0"/>
              <w:snapToGrid w:val="0"/>
              <w:spacing w:line="360" w:lineRule="auto"/>
              <w:jc w:val="left"/>
              <w:rPr>
                <w:rFonts w:hint="eastAsia" w:ascii="宋体" w:hAnsi="宋体" w:eastAsia="宋体" w:cs="宋体"/>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.评定是否偏离以投标人响应及提供的证明材料是否符合招标技术标准为准，没有要求提供证明材料的以投标人响应为准。</w:t>
            </w:r>
          </w:p>
          <w:p w14:paraId="38CD041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未对招标文件技术参数要求进行逐条响应或未按参数要求提供对应证明材料的，视为不满足招标文件要求，对其未响应或未按参数要求提供对应证明材料或提供的证明资料显示不符合招标文件要求、模糊不清无法判断或未显示是否满足招标文件的技术参数按负偏离处理进行扣分。</w:t>
            </w:r>
          </w:p>
          <w:p w14:paraId="2C224C48">
            <w:pPr>
              <w:spacing w:line="360" w:lineRule="auto"/>
              <w:jc w:val="left"/>
              <w:rPr>
                <w:rFonts w:hint="eastAsia" w:ascii="宋体" w:hAnsi="宋体" w:eastAsia="宋体"/>
                <w:szCs w:val="21"/>
              </w:rPr>
            </w:pPr>
            <w:r>
              <w:rPr>
                <w:rFonts w:hint="eastAsia" w:ascii="宋体" w:hAnsi="宋体" w:eastAsia="宋体" w:cs="宋体"/>
                <w:sz w:val="24"/>
                <w:lang w:val="en-US" w:eastAsia="zh-CN"/>
              </w:rPr>
              <w:t>3</w:t>
            </w:r>
            <w:r>
              <w:rPr>
                <w:rFonts w:hint="eastAsia" w:ascii="宋体" w:hAnsi="宋体" w:eastAsia="宋体" w:cs="宋体"/>
                <w:sz w:val="24"/>
              </w:rPr>
              <w:t>.投标人的“技术规格响应情况”“技术规格偏离情况”等必须与客观实际保持一致，响应不实且情节严重的，经查实，将依法记入供应商诚信档案或受到行政处罚。</w:t>
            </w:r>
          </w:p>
        </w:tc>
        <w:tc>
          <w:tcPr>
            <w:tcW w:w="851" w:type="dxa"/>
            <w:vAlign w:val="center"/>
          </w:tcPr>
          <w:p w14:paraId="3AD537E7">
            <w:pPr>
              <w:spacing w:line="360" w:lineRule="auto"/>
              <w:jc w:val="center"/>
              <w:rPr>
                <w:rFonts w:hint="eastAsia" w:ascii="宋体" w:hAnsi="宋体" w:eastAsia="宋体"/>
              </w:rPr>
            </w:pPr>
            <w:r>
              <w:rPr>
                <w:rFonts w:hint="eastAsia" w:ascii="宋体" w:hAnsi="宋体" w:eastAsia="宋体"/>
              </w:rPr>
              <w:t>30</w:t>
            </w:r>
          </w:p>
        </w:tc>
        <w:tc>
          <w:tcPr>
            <w:tcW w:w="939" w:type="dxa"/>
            <w:vAlign w:val="center"/>
          </w:tcPr>
          <w:p w14:paraId="20CE7947">
            <w:pPr>
              <w:spacing w:line="360" w:lineRule="auto"/>
              <w:jc w:val="center"/>
              <w:rPr>
                <w:rFonts w:hint="eastAsia" w:ascii="宋体" w:hAnsi="宋体" w:eastAsia="宋体"/>
              </w:rPr>
            </w:pPr>
            <w:r>
              <w:rPr>
                <w:rFonts w:hint="eastAsia" w:ascii="宋体" w:hAnsi="宋体" w:eastAsia="宋体"/>
              </w:rPr>
              <w:t>30</w:t>
            </w:r>
          </w:p>
        </w:tc>
      </w:tr>
      <w:tr w14:paraId="2537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551DDAE">
            <w:pPr>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851" w:type="dxa"/>
            <w:vAlign w:val="center"/>
          </w:tcPr>
          <w:p w14:paraId="10B24B08">
            <w:pPr>
              <w:spacing w:line="360" w:lineRule="auto"/>
              <w:jc w:val="center"/>
              <w:rPr>
                <w:rFonts w:hint="eastAsia" w:ascii="宋体" w:hAnsi="宋体" w:eastAsia="宋体" w:cs="宋体"/>
                <w:kern w:val="0"/>
                <w:sz w:val="24"/>
              </w:rPr>
            </w:pPr>
            <w:r>
              <w:rPr>
                <w:rFonts w:hint="eastAsia" w:ascii="宋体" w:hAnsi="宋体" w:eastAsia="宋体" w:cs="宋体"/>
                <w:kern w:val="0"/>
                <w:sz w:val="24"/>
              </w:rPr>
              <w:t>实施方案</w:t>
            </w:r>
          </w:p>
        </w:tc>
        <w:tc>
          <w:tcPr>
            <w:tcW w:w="6129" w:type="dxa"/>
            <w:vAlign w:val="center"/>
          </w:tcPr>
          <w:p w14:paraId="22F53E2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（一）投标人根据本项目特点，制定针对本项目的实施方案，包括但不限于以下几点评审内容：①总体采购方案；②投入本项目的人员配备及其岗位职责；③产品备货及供货流程；④产品质量保障措施；</w:t>
            </w:r>
          </w:p>
          <w:p w14:paraId="355F6778">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（二）评分依据 </w:t>
            </w:r>
            <w:r>
              <w:rPr>
                <w:rFonts w:hint="eastAsia" w:ascii="宋体" w:hAnsi="宋体" w:eastAsia="宋体" w:cs="宋体"/>
                <w:sz w:val="24"/>
              </w:rPr>
              <w:cr/>
            </w:r>
            <w:r>
              <w:rPr>
                <w:rFonts w:hint="eastAsia" w:ascii="宋体" w:hAnsi="宋体" w:eastAsia="宋体" w:cs="宋体"/>
                <w:sz w:val="24"/>
              </w:rPr>
              <w:t xml:space="preserve"> 1.对上述4个评审内容进行打分，全部满足得40分，满足以上任意三点要求得25分，满足以上任意二点要求得10分，满足以上任意一点要求得5分，未提供不得分；</w:t>
            </w:r>
          </w:p>
          <w:p w14:paraId="28112AA1">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2.在此基础上，专家根据各供应商的具体响应内容进一步评审：</w:t>
            </w:r>
          </w:p>
          <w:p w14:paraId="359D39A1">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（1）优：服务方案完整详实、合理可行、便捷性高，得60分；</w:t>
            </w:r>
          </w:p>
          <w:p w14:paraId="6BB8B8D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（2）良：服务方案比较完整、可行性比较强、便捷性比较高，得40分；</w:t>
            </w:r>
          </w:p>
          <w:p w14:paraId="28980AC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（3）中：服务方案不完整、可行性差、便捷性差，得20分；</w:t>
            </w:r>
          </w:p>
          <w:p w14:paraId="6BE1C204">
            <w:pPr>
              <w:adjustRightInd w:val="0"/>
              <w:snapToGrid w:val="0"/>
              <w:spacing w:line="360" w:lineRule="auto"/>
              <w:jc w:val="left"/>
              <w:rPr>
                <w:rFonts w:hint="eastAsia" w:ascii="宋体" w:hAnsi="宋体" w:eastAsia="宋体"/>
                <w:szCs w:val="21"/>
              </w:rPr>
            </w:pPr>
            <w:r>
              <w:rPr>
                <w:rFonts w:hint="eastAsia" w:ascii="宋体" w:hAnsi="宋体" w:eastAsia="宋体" w:cs="宋体"/>
                <w:sz w:val="24"/>
              </w:rPr>
              <w:t>（4）差：未提供方案或不符合要求的，不得分。专家按百分制打分。如果评审为差，要求专家书面说明理由，并记录在档。</w:t>
            </w:r>
          </w:p>
        </w:tc>
        <w:tc>
          <w:tcPr>
            <w:tcW w:w="851" w:type="dxa"/>
            <w:vAlign w:val="center"/>
          </w:tcPr>
          <w:p w14:paraId="4EDCF1DD">
            <w:pPr>
              <w:spacing w:line="360" w:lineRule="auto"/>
              <w:jc w:val="center"/>
              <w:rPr>
                <w:rFonts w:hint="eastAsia" w:ascii="宋体" w:hAnsi="宋体" w:eastAsia="宋体"/>
              </w:rPr>
            </w:pPr>
            <w:r>
              <w:rPr>
                <w:rFonts w:hint="eastAsia" w:ascii="宋体" w:hAnsi="宋体" w:eastAsia="宋体"/>
              </w:rPr>
              <w:t>5</w:t>
            </w:r>
          </w:p>
        </w:tc>
        <w:tc>
          <w:tcPr>
            <w:tcW w:w="939" w:type="dxa"/>
            <w:vAlign w:val="center"/>
          </w:tcPr>
          <w:p w14:paraId="0D378008">
            <w:pPr>
              <w:spacing w:line="360" w:lineRule="auto"/>
              <w:jc w:val="center"/>
              <w:rPr>
                <w:rFonts w:hint="eastAsia" w:ascii="宋体" w:hAnsi="宋体" w:eastAsia="宋体"/>
              </w:rPr>
            </w:pPr>
            <w:r>
              <w:rPr>
                <w:rFonts w:hint="eastAsia" w:ascii="宋体" w:hAnsi="宋体" w:eastAsia="宋体"/>
              </w:rPr>
              <w:t>5</w:t>
            </w:r>
          </w:p>
        </w:tc>
      </w:tr>
      <w:tr w14:paraId="6A76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BE0926F">
            <w:pPr>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851" w:type="dxa"/>
            <w:vAlign w:val="center"/>
          </w:tcPr>
          <w:p w14:paraId="515E8770">
            <w:pPr>
              <w:spacing w:line="360" w:lineRule="auto"/>
              <w:jc w:val="center"/>
              <w:rPr>
                <w:rFonts w:hint="eastAsia" w:ascii="宋体" w:hAnsi="宋体" w:eastAsia="宋体" w:cs="宋体"/>
                <w:kern w:val="0"/>
                <w:sz w:val="24"/>
              </w:rPr>
            </w:pPr>
            <w:r>
              <w:rPr>
                <w:rFonts w:hint="eastAsia" w:ascii="宋体" w:hAnsi="宋体" w:eastAsia="宋体" w:cs="宋体"/>
                <w:kern w:val="0"/>
                <w:sz w:val="24"/>
              </w:rPr>
              <w:t>培训方案</w:t>
            </w:r>
          </w:p>
        </w:tc>
        <w:tc>
          <w:tcPr>
            <w:tcW w:w="6129" w:type="dxa"/>
            <w:vAlign w:val="center"/>
          </w:tcPr>
          <w:p w14:paraId="327EA8B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（一）投标人提供培训方案，包括但不限于以下几点评审内容：①培训计划；②培训内容与方式；③培训团队人员配置；</w:t>
            </w:r>
          </w:p>
          <w:p w14:paraId="434304F9">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（二）评分依据 </w:t>
            </w:r>
            <w:r>
              <w:rPr>
                <w:rFonts w:hint="eastAsia" w:ascii="宋体" w:hAnsi="宋体" w:eastAsia="宋体" w:cs="宋体"/>
                <w:sz w:val="24"/>
              </w:rPr>
              <w:cr/>
            </w:r>
            <w:r>
              <w:rPr>
                <w:rFonts w:hint="eastAsia" w:ascii="宋体" w:hAnsi="宋体" w:eastAsia="宋体" w:cs="宋体"/>
                <w:sz w:val="24"/>
              </w:rPr>
              <w:t xml:space="preserve"> 1.对上述3个评审内容进行打分，全部满足得40分，满足以上任意二点要求得26分，满足以上任意一点要求得13分，未提供不得分；</w:t>
            </w:r>
          </w:p>
          <w:p w14:paraId="7D22A08A">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2.在此基础上，专家根据各供应商的具体响应内容进一步评审：</w:t>
            </w:r>
          </w:p>
          <w:p w14:paraId="3475D76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（1）优：服务方案完整详实、合理可行、便捷性高，得60分；</w:t>
            </w:r>
          </w:p>
          <w:p w14:paraId="27D55B4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（2）良：服务方案比较完整、可行性比较强、便捷性比较高，得40分；</w:t>
            </w:r>
          </w:p>
          <w:p w14:paraId="3F1B192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（3）中：服务方案不完整、可行性差、便捷性差，得20分；</w:t>
            </w:r>
          </w:p>
          <w:p w14:paraId="0DA15BD1">
            <w:pPr>
              <w:adjustRightInd w:val="0"/>
              <w:snapToGrid w:val="0"/>
              <w:spacing w:line="360" w:lineRule="auto"/>
              <w:jc w:val="left"/>
              <w:rPr>
                <w:rFonts w:hint="eastAsia" w:ascii="宋体" w:hAnsi="宋体" w:eastAsia="宋体"/>
                <w:szCs w:val="21"/>
              </w:rPr>
            </w:pPr>
            <w:r>
              <w:rPr>
                <w:rFonts w:hint="eastAsia" w:ascii="宋体" w:hAnsi="宋体" w:eastAsia="宋体" w:cs="宋体"/>
                <w:sz w:val="24"/>
              </w:rPr>
              <w:t>（4）差：未提供方案或不符合要求的，不得分。专家按百分制打分。如果评审为差，要求专家书面说明理由，并记录在档。</w:t>
            </w:r>
          </w:p>
        </w:tc>
        <w:tc>
          <w:tcPr>
            <w:tcW w:w="851" w:type="dxa"/>
            <w:vAlign w:val="center"/>
          </w:tcPr>
          <w:p w14:paraId="024C2890">
            <w:pPr>
              <w:spacing w:line="360" w:lineRule="auto"/>
              <w:jc w:val="center"/>
              <w:rPr>
                <w:rFonts w:hint="eastAsia" w:ascii="宋体" w:hAnsi="宋体" w:eastAsia="宋体"/>
              </w:rPr>
            </w:pPr>
            <w:r>
              <w:rPr>
                <w:rFonts w:hint="eastAsia" w:ascii="宋体" w:hAnsi="宋体" w:eastAsia="宋体"/>
              </w:rPr>
              <w:t>10</w:t>
            </w:r>
          </w:p>
        </w:tc>
        <w:tc>
          <w:tcPr>
            <w:tcW w:w="939" w:type="dxa"/>
            <w:vAlign w:val="center"/>
          </w:tcPr>
          <w:p w14:paraId="3EBCC24D">
            <w:pPr>
              <w:spacing w:line="360" w:lineRule="auto"/>
              <w:jc w:val="center"/>
              <w:rPr>
                <w:rFonts w:hint="eastAsia" w:ascii="宋体" w:hAnsi="宋体" w:eastAsia="宋体"/>
              </w:rPr>
            </w:pPr>
            <w:r>
              <w:rPr>
                <w:rFonts w:hint="eastAsia" w:ascii="宋体" w:hAnsi="宋体" w:eastAsia="宋体"/>
              </w:rPr>
              <w:t>10</w:t>
            </w:r>
          </w:p>
        </w:tc>
      </w:tr>
      <w:tr w14:paraId="469D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DAF7728">
            <w:pPr>
              <w:spacing w:line="360" w:lineRule="auto"/>
              <w:jc w:val="center"/>
              <w:rPr>
                <w:rFonts w:hint="eastAsia" w:ascii="宋体" w:hAnsi="宋体" w:eastAsia="宋体" w:cs="宋体"/>
                <w:kern w:val="0"/>
                <w:sz w:val="24"/>
              </w:rPr>
            </w:pPr>
            <w:r>
              <w:rPr>
                <w:rFonts w:hint="eastAsia" w:ascii="宋体" w:hAnsi="宋体" w:eastAsia="宋体" w:cs="宋体"/>
                <w:kern w:val="0"/>
                <w:sz w:val="24"/>
              </w:rPr>
              <w:t>4</w:t>
            </w:r>
          </w:p>
        </w:tc>
        <w:tc>
          <w:tcPr>
            <w:tcW w:w="851" w:type="dxa"/>
            <w:vAlign w:val="center"/>
          </w:tcPr>
          <w:p w14:paraId="7F7B2E57">
            <w:pPr>
              <w:spacing w:line="360" w:lineRule="auto"/>
              <w:jc w:val="center"/>
              <w:rPr>
                <w:rFonts w:hint="eastAsia" w:ascii="宋体" w:hAnsi="宋体" w:eastAsia="宋体" w:cs="宋体"/>
                <w:kern w:val="0"/>
                <w:sz w:val="24"/>
              </w:rPr>
            </w:pPr>
            <w:r>
              <w:rPr>
                <w:rFonts w:hint="eastAsia" w:ascii="宋体" w:hAnsi="宋体" w:eastAsia="宋体" w:cs="宋体"/>
                <w:kern w:val="0"/>
                <w:sz w:val="24"/>
              </w:rPr>
              <w:t>售后服务</w:t>
            </w:r>
          </w:p>
        </w:tc>
        <w:tc>
          <w:tcPr>
            <w:tcW w:w="6129" w:type="dxa"/>
            <w:vAlign w:val="center"/>
          </w:tcPr>
          <w:p w14:paraId="33ADC6B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（一）评分内容</w:t>
            </w:r>
          </w:p>
          <w:p w14:paraId="2CACAE0D">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根据投标人提供的售后服务方案进行综合评审，包括但不限于：</w:t>
            </w:r>
          </w:p>
          <w:p w14:paraId="779DE736">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1.售后服务计划；</w:t>
            </w:r>
          </w:p>
          <w:p w14:paraId="7FBBEF2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2.维护保养计划；</w:t>
            </w:r>
          </w:p>
          <w:p w14:paraId="67D3E5E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3.培训实施计划；</w:t>
            </w:r>
          </w:p>
          <w:p w14:paraId="47284E59">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4.售后服务人员安排，本地化服务情况等</w:t>
            </w:r>
          </w:p>
          <w:p w14:paraId="70528E56">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（二）评分依据</w:t>
            </w:r>
          </w:p>
          <w:p w14:paraId="2A2B6990">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1.全部满足得40分，满足以上任意三点要求得25分，满足以上任意二点要求得10分，满足以上任意一点要求得5分，未提供不得分；</w:t>
            </w:r>
          </w:p>
          <w:p w14:paraId="5E7D7794">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2.在此基础上，专家根据各供应商的具体响应内容进一步评审：</w:t>
            </w:r>
          </w:p>
          <w:p w14:paraId="0E61406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（1）优：服务方案完整详实、合理可行、便捷性高，得60分；</w:t>
            </w:r>
          </w:p>
          <w:p w14:paraId="43F1A9B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（2）良：服务方案比较完整、可行性比较强、便捷性比较高，得40分；</w:t>
            </w:r>
          </w:p>
          <w:p w14:paraId="290948B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（3）中：服务方案不完整、可行性差、便捷性差，得20分；</w:t>
            </w:r>
          </w:p>
          <w:p w14:paraId="64388ABF">
            <w:pPr>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sz w:val="24"/>
              </w:rPr>
              <w:t>（4）差：未提供方案或不符合要求的，不得分。专家按百分制打分。如果评审为差，要求专家书面说明理由，并记录在档。</w:t>
            </w:r>
          </w:p>
        </w:tc>
        <w:tc>
          <w:tcPr>
            <w:tcW w:w="851" w:type="dxa"/>
            <w:vAlign w:val="center"/>
          </w:tcPr>
          <w:p w14:paraId="682FA68A">
            <w:pPr>
              <w:spacing w:line="360" w:lineRule="auto"/>
              <w:jc w:val="center"/>
              <w:rPr>
                <w:rFonts w:hint="eastAsia" w:ascii="宋体" w:hAnsi="宋体" w:eastAsia="宋体"/>
              </w:rPr>
            </w:pPr>
            <w:r>
              <w:rPr>
                <w:rFonts w:hint="eastAsia" w:ascii="宋体" w:hAnsi="宋体" w:eastAsia="宋体"/>
              </w:rPr>
              <w:t>5</w:t>
            </w:r>
          </w:p>
        </w:tc>
        <w:tc>
          <w:tcPr>
            <w:tcW w:w="939" w:type="dxa"/>
            <w:vAlign w:val="center"/>
          </w:tcPr>
          <w:p w14:paraId="0714DE38">
            <w:pPr>
              <w:spacing w:line="360" w:lineRule="auto"/>
              <w:jc w:val="center"/>
              <w:rPr>
                <w:rFonts w:hint="eastAsia" w:ascii="宋体" w:hAnsi="宋体" w:eastAsia="宋体"/>
              </w:rPr>
            </w:pPr>
            <w:r>
              <w:rPr>
                <w:rFonts w:hint="eastAsia" w:ascii="宋体" w:hAnsi="宋体" w:eastAsia="宋体"/>
              </w:rPr>
              <w:t>5</w:t>
            </w:r>
          </w:p>
        </w:tc>
      </w:tr>
      <w:tr w14:paraId="372A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B31E25A">
            <w:pPr>
              <w:spacing w:line="360" w:lineRule="auto"/>
              <w:jc w:val="center"/>
              <w:rPr>
                <w:rFonts w:hint="eastAsia" w:ascii="宋体" w:hAnsi="宋体" w:eastAsia="宋体"/>
                <w:b/>
                <w:bCs/>
                <w:szCs w:val="21"/>
              </w:rPr>
            </w:pPr>
            <w:r>
              <w:rPr>
                <w:rFonts w:hint="eastAsia" w:ascii="宋体" w:hAnsi="宋体" w:eastAsia="宋体"/>
                <w:b/>
                <w:bCs/>
                <w:szCs w:val="21"/>
              </w:rPr>
              <w:t>三</w:t>
            </w:r>
          </w:p>
        </w:tc>
        <w:tc>
          <w:tcPr>
            <w:tcW w:w="8770" w:type="dxa"/>
            <w:gridSpan w:val="4"/>
            <w:vAlign w:val="center"/>
          </w:tcPr>
          <w:p w14:paraId="33C567C5">
            <w:pPr>
              <w:spacing w:line="360" w:lineRule="auto"/>
              <w:jc w:val="center"/>
              <w:rPr>
                <w:rFonts w:hint="eastAsia" w:ascii="宋体" w:hAnsi="宋体" w:eastAsia="宋体"/>
              </w:rPr>
            </w:pPr>
            <w:r>
              <w:rPr>
                <w:rFonts w:hint="eastAsia" w:ascii="宋体" w:hAnsi="宋体" w:eastAsia="宋体" w:cs="宋体"/>
                <w:b/>
                <w:sz w:val="24"/>
              </w:rPr>
              <w:t>商务部分（合计20分）</w:t>
            </w:r>
          </w:p>
        </w:tc>
      </w:tr>
      <w:tr w14:paraId="3036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CF7A83B">
            <w:pPr>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851" w:type="dxa"/>
            <w:vAlign w:val="center"/>
          </w:tcPr>
          <w:p w14:paraId="43FDCE8D">
            <w:pPr>
              <w:spacing w:line="360" w:lineRule="auto"/>
              <w:jc w:val="center"/>
              <w:rPr>
                <w:rFonts w:hint="eastAsia" w:ascii="宋体" w:hAnsi="宋体" w:eastAsia="宋体" w:cs="宋体"/>
                <w:kern w:val="0"/>
                <w:sz w:val="24"/>
              </w:rPr>
            </w:pPr>
            <w:r>
              <w:rPr>
                <w:rFonts w:hint="eastAsia" w:ascii="宋体" w:hAnsi="宋体" w:eastAsia="宋体" w:cs="宋体"/>
                <w:kern w:val="0"/>
                <w:sz w:val="24"/>
              </w:rPr>
              <w:t>业绩</w:t>
            </w:r>
          </w:p>
        </w:tc>
        <w:tc>
          <w:tcPr>
            <w:tcW w:w="6129" w:type="dxa"/>
            <w:vAlign w:val="center"/>
          </w:tcPr>
          <w:p w14:paraId="7AE9DF72">
            <w:pPr>
              <w:spacing w:line="360" w:lineRule="auto"/>
              <w:rPr>
                <w:rFonts w:hint="eastAsia" w:ascii="宋体" w:hAnsi="宋体" w:eastAsia="宋体" w:cs="宋体"/>
                <w:b/>
                <w:bCs/>
                <w:sz w:val="24"/>
              </w:rPr>
            </w:pPr>
            <w:r>
              <w:rPr>
                <w:rFonts w:hint="eastAsia" w:ascii="宋体" w:hAnsi="宋体" w:eastAsia="宋体" w:cs="宋体"/>
                <w:b/>
                <w:bCs/>
                <w:sz w:val="24"/>
              </w:rPr>
              <w:t>（一）评分内容：</w:t>
            </w:r>
          </w:p>
          <w:p w14:paraId="792E0BA7">
            <w:pPr>
              <w:spacing w:line="360" w:lineRule="auto"/>
              <w:rPr>
                <w:rFonts w:hint="eastAsia" w:ascii="宋体" w:hAnsi="宋体" w:eastAsia="宋体" w:cs="宋体"/>
                <w:sz w:val="24"/>
              </w:rPr>
            </w:pPr>
            <w:r>
              <w:rPr>
                <w:rFonts w:hint="eastAsia" w:ascii="宋体" w:hAnsi="宋体" w:eastAsia="宋体" w:cs="宋体"/>
                <w:sz w:val="24"/>
              </w:rPr>
              <w:t>提供2022年1月1日至本项目投标截止日，以合同签订时间为准的同类业绩（业绩内容须包含本项目产品），提供2个即得满分，提供1个得50分，未提供的不得分。</w:t>
            </w:r>
          </w:p>
          <w:p w14:paraId="7681ED97">
            <w:pPr>
              <w:spacing w:line="360" w:lineRule="auto"/>
              <w:rPr>
                <w:rFonts w:hint="eastAsia" w:ascii="宋体" w:hAnsi="宋体" w:eastAsia="宋体" w:cs="宋体"/>
                <w:b/>
                <w:bCs/>
                <w:sz w:val="24"/>
              </w:rPr>
            </w:pPr>
            <w:r>
              <w:rPr>
                <w:rFonts w:hint="eastAsia" w:ascii="宋体" w:hAnsi="宋体" w:eastAsia="宋体" w:cs="宋体"/>
                <w:b/>
                <w:bCs/>
                <w:sz w:val="24"/>
              </w:rPr>
              <w:t>（二）评分依据：</w:t>
            </w:r>
          </w:p>
          <w:p w14:paraId="7184B7A8">
            <w:pPr>
              <w:spacing w:line="360" w:lineRule="auto"/>
              <w:rPr>
                <w:rFonts w:hint="eastAsia" w:ascii="宋体" w:hAnsi="宋体" w:eastAsia="宋体" w:cs="宋体"/>
                <w:color w:val="EE0000"/>
                <w:sz w:val="24"/>
              </w:rPr>
            </w:pPr>
            <w:r>
              <w:rPr>
                <w:rFonts w:hint="eastAsia" w:ascii="宋体" w:hAnsi="宋体" w:eastAsia="宋体" w:cs="宋体"/>
                <w:sz w:val="24"/>
              </w:rPr>
              <w:t>1.投标人需在投标文件中提供每个有效业绩的合同（包括合同首页、关键页（能够显示产品名称等信息）和签署盖章页，合同须为投标人或制造商直接与采购方签订的合同）、验收合格报告或材料扫描件，作为得分依据，否则不得分。</w:t>
            </w:r>
          </w:p>
          <w:p w14:paraId="0B86A757">
            <w:pPr>
              <w:spacing w:line="360" w:lineRule="auto"/>
              <w:jc w:val="left"/>
              <w:rPr>
                <w:rFonts w:hint="eastAsia" w:ascii="宋体" w:hAnsi="宋体" w:eastAsia="宋体" w:cs="宋体"/>
                <w:sz w:val="24"/>
              </w:rPr>
            </w:pPr>
            <w:r>
              <w:rPr>
                <w:rFonts w:hint="eastAsia" w:ascii="宋体" w:hAnsi="宋体" w:eastAsia="宋体" w:cs="宋体"/>
                <w:sz w:val="24"/>
              </w:rPr>
              <w:t>2.评分中出现无证明资料或专家无法凭所提供资料判断是否得分的情况，或资料不齐全的一律作不得分处理。资料不齐全的一律作不得分处理。</w:t>
            </w:r>
          </w:p>
          <w:p w14:paraId="47CE5918">
            <w:pPr>
              <w:pStyle w:val="2"/>
              <w:spacing w:line="360" w:lineRule="auto"/>
              <w:rPr>
                <w:rFonts w:hint="eastAsia" w:hAnsi="宋体" w:eastAsia="宋体"/>
              </w:rPr>
            </w:pPr>
            <w:r>
              <w:rPr>
                <w:rFonts w:hint="eastAsia" w:hAnsi="宋体" w:eastAsia="宋体" w:cs="宋体"/>
                <w:sz w:val="24"/>
                <w:szCs w:val="24"/>
              </w:rPr>
              <w:t>3.统招分签项目只认定为一个业绩。</w:t>
            </w:r>
          </w:p>
        </w:tc>
        <w:tc>
          <w:tcPr>
            <w:tcW w:w="851" w:type="dxa"/>
            <w:vAlign w:val="center"/>
          </w:tcPr>
          <w:p w14:paraId="523CD92A">
            <w:pPr>
              <w:spacing w:line="360" w:lineRule="auto"/>
              <w:jc w:val="center"/>
              <w:rPr>
                <w:rFonts w:hint="eastAsia" w:ascii="宋体" w:hAnsi="宋体" w:eastAsia="宋体"/>
                <w:szCs w:val="21"/>
              </w:rPr>
            </w:pPr>
            <w:r>
              <w:rPr>
                <w:rFonts w:hint="eastAsia" w:ascii="宋体" w:hAnsi="宋体" w:eastAsia="宋体"/>
                <w:szCs w:val="21"/>
              </w:rPr>
              <w:t>2</w:t>
            </w:r>
          </w:p>
        </w:tc>
        <w:tc>
          <w:tcPr>
            <w:tcW w:w="939" w:type="dxa"/>
            <w:vAlign w:val="center"/>
          </w:tcPr>
          <w:p w14:paraId="03640C3C">
            <w:pPr>
              <w:spacing w:line="360" w:lineRule="auto"/>
              <w:jc w:val="center"/>
              <w:rPr>
                <w:rFonts w:hint="eastAsia" w:ascii="宋体" w:hAnsi="宋体" w:eastAsia="宋体"/>
                <w:szCs w:val="21"/>
              </w:rPr>
            </w:pPr>
            <w:r>
              <w:rPr>
                <w:rFonts w:hint="eastAsia" w:ascii="宋体" w:hAnsi="宋体" w:eastAsia="宋体"/>
                <w:szCs w:val="21"/>
              </w:rPr>
              <w:t>2</w:t>
            </w:r>
          </w:p>
        </w:tc>
      </w:tr>
      <w:tr w14:paraId="01AC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32F790C">
            <w:pPr>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851" w:type="dxa"/>
            <w:vAlign w:val="center"/>
          </w:tcPr>
          <w:p w14:paraId="6F437728">
            <w:pPr>
              <w:spacing w:line="360" w:lineRule="auto"/>
              <w:jc w:val="center"/>
              <w:rPr>
                <w:rFonts w:hint="eastAsia" w:ascii="宋体" w:hAnsi="宋体" w:eastAsia="宋体" w:cs="宋体"/>
                <w:kern w:val="0"/>
                <w:sz w:val="24"/>
              </w:rPr>
            </w:pPr>
            <w:r>
              <w:rPr>
                <w:rFonts w:hint="eastAsia" w:ascii="宋体" w:hAnsi="宋体" w:eastAsia="宋体" w:cs="宋体"/>
                <w:kern w:val="0"/>
                <w:sz w:val="24"/>
              </w:rPr>
              <w:t>产品样品情况</w:t>
            </w:r>
          </w:p>
        </w:tc>
        <w:tc>
          <w:tcPr>
            <w:tcW w:w="6129" w:type="dxa"/>
            <w:vAlign w:val="center"/>
          </w:tcPr>
          <w:p w14:paraId="0A3F236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本项目中激流救生衣、佩戴式防爆照明灯、手提式防爆照明灯和救生拉杆需提供产品样品。</w:t>
            </w:r>
          </w:p>
          <w:p w14:paraId="333E1995">
            <w:pPr>
              <w:spacing w:line="360" w:lineRule="auto"/>
              <w:jc w:val="left"/>
              <w:rPr>
                <w:rFonts w:hint="eastAsia" w:ascii="宋体" w:hAnsi="宋体" w:eastAsia="宋体" w:cs="宋体"/>
                <w:sz w:val="24"/>
              </w:rPr>
            </w:pPr>
            <w:r>
              <w:rPr>
                <w:rFonts w:hint="eastAsia" w:ascii="宋体" w:hAnsi="宋体" w:eastAsia="宋体" w:cs="宋体"/>
                <w:sz w:val="24"/>
              </w:rPr>
              <w:t xml:space="preserve">评分依据 </w:t>
            </w:r>
            <w:r>
              <w:rPr>
                <w:rFonts w:hint="eastAsia" w:ascii="宋体" w:hAnsi="宋体" w:eastAsia="宋体" w:cs="宋体"/>
                <w:sz w:val="24"/>
              </w:rPr>
              <w:cr/>
            </w:r>
            <w:r>
              <w:rPr>
                <w:rFonts w:hint="eastAsia" w:ascii="宋体" w:hAnsi="宋体" w:eastAsia="宋体" w:cs="宋体"/>
                <w:sz w:val="24"/>
              </w:rPr>
              <w:t>1.产品质量、尺寸、重量、颜色、标识：</w:t>
            </w:r>
            <w:r>
              <w:rPr>
                <w:rFonts w:hint="eastAsia" w:ascii="宋体" w:hAnsi="宋体" w:eastAsia="宋体" w:cs="宋体"/>
                <w:sz w:val="24"/>
              </w:rPr>
              <w:cr/>
            </w:r>
            <w:r>
              <w:rPr>
                <w:rFonts w:hint="eastAsia" w:ascii="宋体" w:hAnsi="宋体" w:eastAsia="宋体" w:cs="宋体"/>
                <w:sz w:val="24"/>
              </w:rPr>
              <w:t>（1）样品整体结构完整、结实、合理、做工精良，材质满足或优于招标文件要求，制造工艺先进，器材外观光滑平整、无毛刺及加工缺陷，不容易变形、划伤，金属部分的表面经防锈处理，采用轻量化设计，整体综合评价优于招标文件要求的得50分；</w:t>
            </w:r>
            <w:r>
              <w:rPr>
                <w:rFonts w:hint="eastAsia" w:ascii="宋体" w:hAnsi="宋体" w:eastAsia="宋体" w:cs="宋体"/>
                <w:sz w:val="24"/>
              </w:rPr>
              <w:cr/>
            </w:r>
            <w:r>
              <w:rPr>
                <w:rFonts w:hint="eastAsia" w:ascii="宋体" w:hAnsi="宋体" w:eastAsia="宋体" w:cs="宋体"/>
                <w:sz w:val="24"/>
              </w:rPr>
              <w:t>（2）样品整体结构完整、结实、合理，材质满足招标文件要求，制造工艺先进，器材外观光滑平整、无毛刺及加工缺陷，不容易变形、划伤，金属部分的表面经防锈处理，采用轻量化设计，完全满足招标文件要求的得40分；</w:t>
            </w:r>
            <w:r>
              <w:rPr>
                <w:rFonts w:hint="eastAsia" w:ascii="宋体" w:hAnsi="宋体" w:eastAsia="宋体" w:cs="宋体"/>
                <w:sz w:val="24"/>
              </w:rPr>
              <w:cr/>
            </w:r>
            <w:r>
              <w:rPr>
                <w:rFonts w:hint="eastAsia" w:ascii="宋体" w:hAnsi="宋体" w:eastAsia="宋体" w:cs="宋体"/>
                <w:sz w:val="24"/>
              </w:rPr>
              <w:t>（3）样品关键部件的外观结构基本完整、合理，材质好，制造工艺高，器材外观光滑平整、无毛刺及加工缺陷，不容易变形、划伤，感官上认为质量较好，金属部分的表面经防锈处理，部分非关键部件不完全满足招标文件要求但不影响产品主要功能使用的得30分；</w:t>
            </w:r>
            <w:r>
              <w:rPr>
                <w:rFonts w:hint="eastAsia" w:ascii="宋体" w:hAnsi="宋体" w:eastAsia="宋体" w:cs="宋体"/>
                <w:sz w:val="24"/>
              </w:rPr>
              <w:cr/>
            </w:r>
            <w:r>
              <w:rPr>
                <w:rFonts w:hint="eastAsia" w:ascii="宋体" w:hAnsi="宋体" w:eastAsia="宋体" w:cs="宋体"/>
                <w:sz w:val="24"/>
              </w:rPr>
              <w:t>（4）样品关键部件外观结构不完整、不合理，材质一般，制造工艺粗糙，质量一般，不完全满足招标文件要求影响产品主要功能使用的得20分。</w:t>
            </w:r>
            <w:r>
              <w:rPr>
                <w:rFonts w:hint="eastAsia" w:ascii="宋体" w:hAnsi="宋体" w:eastAsia="宋体" w:cs="宋体"/>
                <w:sz w:val="24"/>
              </w:rPr>
              <w:cr/>
            </w:r>
            <w:r>
              <w:rPr>
                <w:rFonts w:hint="eastAsia" w:ascii="宋体" w:hAnsi="宋体" w:eastAsia="宋体" w:cs="宋体"/>
                <w:sz w:val="24"/>
              </w:rPr>
              <w:t>（5）样品关键部件外观结构不完整、不合理，材质差，制造工艺粗糙，质量差，无法满足招标文件要求影响产品主要功能使用的得10分。</w:t>
            </w:r>
            <w:r>
              <w:rPr>
                <w:rFonts w:hint="eastAsia" w:ascii="宋体" w:hAnsi="宋体" w:eastAsia="宋体" w:cs="宋体"/>
                <w:sz w:val="24"/>
              </w:rPr>
              <w:cr/>
            </w:r>
            <w:r>
              <w:rPr>
                <w:rFonts w:hint="eastAsia" w:ascii="宋体" w:hAnsi="宋体" w:eastAsia="宋体" w:cs="宋体"/>
                <w:sz w:val="24"/>
              </w:rPr>
              <w:t>2.使用体验：操作、使用的便捷性，舒适性等</w:t>
            </w:r>
            <w:r>
              <w:rPr>
                <w:rFonts w:hint="eastAsia" w:ascii="宋体" w:hAnsi="宋体" w:eastAsia="宋体" w:cs="宋体"/>
                <w:sz w:val="24"/>
              </w:rPr>
              <w:cr/>
            </w:r>
            <w:r>
              <w:rPr>
                <w:rFonts w:hint="eastAsia" w:ascii="宋体" w:hAnsi="宋体" w:eastAsia="宋体" w:cs="宋体"/>
                <w:sz w:val="24"/>
              </w:rPr>
              <w:t>（1）样品符合人体设计工学、实用性强、无操作安全隐患或影响使用性能的安全隐患、便于携带或背负，操作便捷，另有更创新、科学的实用设计，整体综合评价优于消防救援实战需求的得50分；</w:t>
            </w:r>
            <w:r>
              <w:rPr>
                <w:rFonts w:hint="eastAsia" w:ascii="宋体" w:hAnsi="宋体" w:eastAsia="宋体" w:cs="宋体"/>
                <w:sz w:val="24"/>
              </w:rPr>
              <w:cr/>
            </w:r>
            <w:r>
              <w:rPr>
                <w:rFonts w:hint="eastAsia" w:ascii="宋体" w:hAnsi="宋体" w:eastAsia="宋体" w:cs="宋体"/>
                <w:sz w:val="24"/>
              </w:rPr>
              <w:t>（2）样品符合人体设计工学、实用性强、无操作安全隐患或影响使用性能的安全隐患、便于携带或背负，操作便捷，完全满足消防救援实战需求的得40分；</w:t>
            </w:r>
            <w:r>
              <w:rPr>
                <w:rFonts w:hint="eastAsia" w:ascii="宋体" w:hAnsi="宋体" w:eastAsia="宋体" w:cs="宋体"/>
                <w:sz w:val="24"/>
              </w:rPr>
              <w:cr/>
            </w:r>
            <w:r>
              <w:rPr>
                <w:rFonts w:hint="eastAsia" w:ascii="宋体" w:hAnsi="宋体" w:eastAsia="宋体" w:cs="宋体"/>
                <w:sz w:val="24"/>
              </w:rPr>
              <w:t>（3）样品基本符合人体设计工学、实用性较强、无操作安全隐患或影响使用性能的安全隐患、便于携带或背负，操作简单，但部分非关键部件不完全满足消防救援实战需求的得30分；</w:t>
            </w:r>
            <w:r>
              <w:rPr>
                <w:rFonts w:hint="eastAsia" w:ascii="宋体" w:hAnsi="宋体" w:eastAsia="宋体" w:cs="宋体"/>
                <w:sz w:val="24"/>
              </w:rPr>
              <w:cr/>
            </w:r>
            <w:r>
              <w:rPr>
                <w:rFonts w:hint="eastAsia" w:ascii="宋体" w:hAnsi="宋体" w:eastAsia="宋体" w:cs="宋体"/>
                <w:sz w:val="24"/>
              </w:rPr>
              <w:t>（4）样品不符合人体设计工学，关键部件实用性、操作安全性一般，存在操作安全隐患或影响使用性能的安全隐患、不便于携带或背负，操作繁琐，部分非关键部件不满足消防救援实战需求的得20分；</w:t>
            </w:r>
          </w:p>
          <w:p w14:paraId="706849EF">
            <w:pPr>
              <w:spacing w:line="360" w:lineRule="auto"/>
              <w:jc w:val="left"/>
              <w:rPr>
                <w:rFonts w:hint="eastAsia" w:ascii="宋体" w:hAnsi="宋体" w:eastAsia="宋体" w:cs="宋体"/>
                <w:sz w:val="24"/>
              </w:rPr>
            </w:pPr>
            <w:r>
              <w:rPr>
                <w:rFonts w:hint="eastAsia" w:ascii="宋体" w:hAnsi="宋体" w:eastAsia="宋体" w:cs="宋体"/>
                <w:sz w:val="24"/>
              </w:rPr>
              <w:cr/>
            </w:r>
            <w:r>
              <w:rPr>
                <w:rFonts w:hint="eastAsia" w:ascii="宋体" w:hAnsi="宋体" w:eastAsia="宋体" w:cs="宋体"/>
                <w:sz w:val="24"/>
              </w:rPr>
              <w:t>（5）样品不符合人体设计工学，关键部件实用性、操作安全性差，存在操作安全隐患或影响使用性能的安全隐患、不便于携带或背负，操作繁琐，关键部件无法满足消防救援实战需求的得10分。</w:t>
            </w:r>
            <w:r>
              <w:rPr>
                <w:rFonts w:hint="eastAsia" w:ascii="宋体" w:hAnsi="宋体" w:eastAsia="宋体" w:cs="宋体"/>
                <w:sz w:val="24"/>
              </w:rPr>
              <w:cr/>
            </w:r>
            <w:r>
              <w:rPr>
                <w:rFonts w:hint="eastAsia" w:ascii="宋体" w:hAnsi="宋体" w:eastAsia="宋体" w:cs="宋体"/>
                <w:sz w:val="24"/>
              </w:rPr>
              <w:t>注：未提供样品的，样品提供不全的，样品实物、样品规格型号说明书、投标文件技术参数描述几者不一致的，本项不得分。</w:t>
            </w:r>
          </w:p>
        </w:tc>
        <w:tc>
          <w:tcPr>
            <w:tcW w:w="851" w:type="dxa"/>
            <w:vAlign w:val="center"/>
          </w:tcPr>
          <w:p w14:paraId="6BE949BC">
            <w:pPr>
              <w:spacing w:line="360" w:lineRule="auto"/>
              <w:jc w:val="center"/>
              <w:rPr>
                <w:rFonts w:hint="eastAsia" w:ascii="宋体" w:hAnsi="宋体" w:eastAsia="宋体"/>
                <w:szCs w:val="21"/>
              </w:rPr>
            </w:pPr>
            <w:r>
              <w:rPr>
                <w:rFonts w:hint="eastAsia" w:ascii="宋体" w:hAnsi="宋体" w:eastAsia="宋体"/>
                <w:szCs w:val="21"/>
              </w:rPr>
              <w:t>7</w:t>
            </w:r>
          </w:p>
        </w:tc>
        <w:tc>
          <w:tcPr>
            <w:tcW w:w="939" w:type="dxa"/>
            <w:vAlign w:val="center"/>
          </w:tcPr>
          <w:p w14:paraId="6FBEB17F">
            <w:pPr>
              <w:spacing w:line="360" w:lineRule="auto"/>
              <w:jc w:val="center"/>
              <w:rPr>
                <w:rFonts w:hint="eastAsia" w:ascii="宋体" w:hAnsi="宋体" w:eastAsia="宋体"/>
                <w:szCs w:val="21"/>
              </w:rPr>
            </w:pPr>
            <w:r>
              <w:rPr>
                <w:rFonts w:hint="eastAsia" w:ascii="宋体" w:hAnsi="宋体" w:eastAsia="宋体"/>
                <w:szCs w:val="21"/>
              </w:rPr>
              <w:t>7</w:t>
            </w:r>
          </w:p>
        </w:tc>
      </w:tr>
      <w:tr w14:paraId="5754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A1C4A52">
            <w:pPr>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851" w:type="dxa"/>
            <w:vAlign w:val="center"/>
          </w:tcPr>
          <w:p w14:paraId="3A5BFCDD">
            <w:pPr>
              <w:spacing w:line="360" w:lineRule="auto"/>
              <w:jc w:val="center"/>
              <w:rPr>
                <w:rFonts w:hint="eastAsia" w:ascii="宋体" w:hAnsi="宋体" w:eastAsia="宋体" w:cs="宋体"/>
                <w:kern w:val="0"/>
                <w:sz w:val="24"/>
              </w:rPr>
            </w:pPr>
            <w:r>
              <w:rPr>
                <w:rFonts w:hint="eastAsia" w:ascii="宋体" w:hAnsi="宋体" w:eastAsia="宋体" w:cs="宋体"/>
                <w:kern w:val="0"/>
                <w:sz w:val="24"/>
              </w:rPr>
              <w:t>产品演示视频</w:t>
            </w:r>
          </w:p>
        </w:tc>
        <w:tc>
          <w:tcPr>
            <w:tcW w:w="6129" w:type="dxa"/>
            <w:vAlign w:val="center"/>
          </w:tcPr>
          <w:p w14:paraId="760089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本项目未要求提供样品的产品需提供产品演示视频。</w:t>
            </w:r>
          </w:p>
          <w:p w14:paraId="0D9FE860">
            <w:pPr>
              <w:pStyle w:val="8"/>
              <w:numPr>
                <w:ilvl w:val="0"/>
                <w:numId w:val="5"/>
              </w:numPr>
              <w:spacing w:line="360" w:lineRule="auto"/>
              <w:jc w:val="left"/>
              <w:rPr>
                <w:rFonts w:hint="eastAsia" w:ascii="宋体" w:hAnsi="宋体" w:eastAsia="宋体" w:cs="宋体"/>
                <w:sz w:val="24"/>
              </w:rPr>
            </w:pPr>
            <w:r>
              <w:rPr>
                <w:rFonts w:hint="eastAsia" w:ascii="宋体" w:hAnsi="宋体" w:eastAsia="宋体" w:cs="宋体"/>
                <w:sz w:val="24"/>
              </w:rPr>
              <w:t>拍摄要求：</w:t>
            </w:r>
          </w:p>
          <w:p w14:paraId="4AA274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演示视频需控制演示时间在5分钟之内；为了方便评标现场视频的顺利播放，建议采用mp4格式；若采用其他格式的视频演示，请提前自行下载播放器应用程序，应用程序同时拷贝到U盘。</w:t>
            </w:r>
          </w:p>
          <w:p w14:paraId="555D4E16">
            <w:pPr>
              <w:spacing w:line="360" w:lineRule="auto"/>
              <w:jc w:val="left"/>
              <w:rPr>
                <w:rFonts w:hint="eastAsia" w:ascii="宋体" w:hAnsi="宋体" w:eastAsia="宋体" w:cs="宋体"/>
                <w:sz w:val="24"/>
              </w:rPr>
            </w:pPr>
            <w:r>
              <w:rPr>
                <w:rFonts w:hint="eastAsia" w:ascii="宋体" w:hAnsi="宋体" w:eastAsia="宋体" w:cs="宋体"/>
                <w:sz w:val="24"/>
              </w:rPr>
              <w:t>（二）评审考核重点</w:t>
            </w:r>
          </w:p>
          <w:p w14:paraId="778983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投标人应采用视频拍摄方式，对产品进行介绍：</w:t>
            </w:r>
          </w:p>
          <w:p w14:paraId="717A1F6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（1）主要功能介绍：投标产品对应招标文件中主要功能进行介绍，包含投标产品品牌型号、整体布局及外观进行展示；</w:t>
            </w:r>
          </w:p>
          <w:p w14:paraId="7512916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（2）技术参数响应情况介绍：供应商对其技术指标正偏离项进行重点介绍；</w:t>
            </w:r>
          </w:p>
          <w:p w14:paraId="6460C2B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（3）对实体货物的真实使用情况、实景全套操作情况进行展示；</w:t>
            </w:r>
          </w:p>
          <w:p w14:paraId="6F1A6CB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（4）针对（1）（2）（3）内容对投标产品进行操作展示。</w:t>
            </w:r>
          </w:p>
          <w:p w14:paraId="63C8EB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（5）通过视频能反映所投产品性能满足招标文件技术要求，操作便利贴合实际救援使用，相关握持符合人体工程学等产品本身属性及使用情况。</w:t>
            </w:r>
          </w:p>
          <w:p w14:paraId="2E0A796E">
            <w:pPr>
              <w:spacing w:line="360" w:lineRule="auto"/>
              <w:jc w:val="left"/>
              <w:rPr>
                <w:rFonts w:hint="eastAsia" w:ascii="宋体" w:hAnsi="宋体" w:eastAsia="宋体" w:cs="宋体"/>
                <w:sz w:val="24"/>
              </w:rPr>
            </w:pPr>
            <w:r>
              <w:rPr>
                <w:rFonts w:hint="eastAsia" w:ascii="宋体" w:hAnsi="宋体" w:eastAsia="宋体" w:cs="宋体"/>
                <w:sz w:val="24"/>
              </w:rPr>
              <w:t xml:space="preserve">（三）评分依据 </w:t>
            </w:r>
            <w:r>
              <w:rPr>
                <w:rFonts w:hint="eastAsia" w:ascii="宋体" w:hAnsi="宋体" w:eastAsia="宋体" w:cs="宋体"/>
                <w:sz w:val="24"/>
              </w:rPr>
              <w:cr/>
            </w:r>
            <w:r>
              <w:rPr>
                <w:rFonts w:hint="eastAsia" w:ascii="宋体" w:hAnsi="宋体" w:eastAsia="宋体" w:cs="宋体"/>
                <w:sz w:val="24"/>
              </w:rPr>
              <w:t xml:space="preserve"> 1.对上述5个评审内容进行打分，全部满足得40分，满足以上任意四点要求得32分，满足以上任意三点要求得24分，满足以上任意三点要求得16分，满足以上任意三点要求得8分，未提供不得分；</w:t>
            </w:r>
          </w:p>
          <w:p w14:paraId="62E12AA7">
            <w:pPr>
              <w:spacing w:line="360" w:lineRule="auto"/>
              <w:jc w:val="left"/>
              <w:rPr>
                <w:rFonts w:hint="eastAsia" w:ascii="宋体" w:hAnsi="宋体" w:eastAsia="宋体" w:cs="宋体"/>
                <w:sz w:val="24"/>
              </w:rPr>
            </w:pPr>
            <w:r>
              <w:rPr>
                <w:rFonts w:hint="eastAsia" w:ascii="宋体" w:hAnsi="宋体" w:eastAsia="宋体" w:cs="宋体"/>
                <w:sz w:val="24"/>
              </w:rPr>
              <w:t>2.在此基础上，专家根据各供应商的具体响应内容进一步评审：</w:t>
            </w:r>
          </w:p>
          <w:p w14:paraId="732E439F">
            <w:pPr>
              <w:spacing w:line="360" w:lineRule="auto"/>
              <w:jc w:val="left"/>
              <w:rPr>
                <w:rFonts w:hint="eastAsia" w:ascii="宋体" w:hAnsi="宋体" w:eastAsia="宋体" w:cs="宋体"/>
                <w:sz w:val="24"/>
              </w:rPr>
            </w:pPr>
            <w:r>
              <w:rPr>
                <w:rFonts w:hint="eastAsia" w:ascii="宋体" w:hAnsi="宋体" w:eastAsia="宋体" w:cs="宋体"/>
                <w:sz w:val="24"/>
              </w:rPr>
              <w:t>（1）完全符合或优于上述内容的是指：演示完整全面，条理清楚。投标产品操作过程流畅，方便快捷，设计合理。性能满足或优于招标文件要求，有利于采购人实际使用，产品使用贴合救援现场实战，满足本项目要求的，得60分。</w:t>
            </w:r>
          </w:p>
          <w:p w14:paraId="50E52DBC">
            <w:pPr>
              <w:spacing w:line="360" w:lineRule="auto"/>
              <w:jc w:val="left"/>
              <w:rPr>
                <w:rFonts w:hint="eastAsia" w:ascii="宋体" w:hAnsi="宋体" w:eastAsia="宋体" w:cs="宋体"/>
                <w:sz w:val="24"/>
              </w:rPr>
            </w:pPr>
            <w:r>
              <w:rPr>
                <w:rFonts w:hint="eastAsia" w:ascii="宋体" w:hAnsi="宋体" w:eastAsia="宋体" w:cs="宋体"/>
                <w:sz w:val="24"/>
              </w:rPr>
              <w:t>（2）内容存在缺陷是指功能演示不全、视频内容缺失。或产品演示操作不够便利快捷，存在设计缺陷。性能较为普通、救援情况不够贴合，对采购需求理解缺位混乱，得30分。</w:t>
            </w:r>
          </w:p>
          <w:p w14:paraId="0318729F">
            <w:pPr>
              <w:spacing w:line="360" w:lineRule="auto"/>
              <w:jc w:val="left"/>
              <w:rPr>
                <w:rFonts w:hint="eastAsia" w:ascii="宋体" w:hAnsi="宋体" w:eastAsia="宋体" w:cs="宋体"/>
                <w:sz w:val="24"/>
              </w:rPr>
            </w:pPr>
            <w:r>
              <w:rPr>
                <w:rFonts w:hint="eastAsia" w:ascii="宋体" w:hAnsi="宋体" w:eastAsia="宋体" w:cs="宋体"/>
                <w:sz w:val="24"/>
              </w:rPr>
              <w:t>（3）未提供视频的，未明确品牌型号的，无法正常播放的，提供图片、文字、PPT、动画等非实物视频形式的，视频中展示的产品和投标文件中所投产品不一致的，此项不得分。</w:t>
            </w:r>
          </w:p>
        </w:tc>
        <w:tc>
          <w:tcPr>
            <w:tcW w:w="851" w:type="dxa"/>
            <w:vAlign w:val="center"/>
          </w:tcPr>
          <w:p w14:paraId="5BF1F1C3">
            <w:pPr>
              <w:spacing w:line="360" w:lineRule="auto"/>
              <w:jc w:val="center"/>
              <w:rPr>
                <w:rFonts w:hint="eastAsia" w:ascii="宋体" w:hAnsi="宋体" w:eastAsia="宋体"/>
                <w:szCs w:val="21"/>
              </w:rPr>
            </w:pPr>
            <w:r>
              <w:rPr>
                <w:rFonts w:hint="eastAsia" w:ascii="宋体" w:hAnsi="宋体" w:eastAsia="宋体"/>
                <w:szCs w:val="21"/>
              </w:rPr>
              <w:t>6</w:t>
            </w:r>
          </w:p>
        </w:tc>
        <w:tc>
          <w:tcPr>
            <w:tcW w:w="939" w:type="dxa"/>
            <w:vAlign w:val="center"/>
          </w:tcPr>
          <w:p w14:paraId="6BD4A1ED">
            <w:pPr>
              <w:spacing w:line="360" w:lineRule="auto"/>
              <w:jc w:val="center"/>
              <w:rPr>
                <w:rFonts w:hint="eastAsia" w:ascii="宋体" w:hAnsi="宋体" w:eastAsia="宋体"/>
                <w:szCs w:val="21"/>
              </w:rPr>
            </w:pPr>
            <w:r>
              <w:rPr>
                <w:rFonts w:hint="eastAsia" w:ascii="宋体" w:hAnsi="宋体" w:eastAsia="宋体"/>
                <w:szCs w:val="21"/>
              </w:rPr>
              <w:t>6</w:t>
            </w:r>
          </w:p>
        </w:tc>
      </w:tr>
      <w:tr w14:paraId="152F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22E4394">
            <w:pPr>
              <w:spacing w:line="360" w:lineRule="auto"/>
              <w:jc w:val="center"/>
              <w:rPr>
                <w:rFonts w:hint="eastAsia" w:ascii="宋体" w:hAnsi="宋体" w:eastAsia="宋体" w:cs="宋体"/>
                <w:kern w:val="0"/>
                <w:sz w:val="24"/>
              </w:rPr>
            </w:pPr>
            <w:r>
              <w:rPr>
                <w:rFonts w:hint="eastAsia" w:ascii="宋体" w:hAnsi="宋体" w:eastAsia="宋体" w:cs="宋体"/>
                <w:kern w:val="0"/>
                <w:sz w:val="24"/>
              </w:rPr>
              <w:t>4</w:t>
            </w:r>
          </w:p>
        </w:tc>
        <w:tc>
          <w:tcPr>
            <w:tcW w:w="851" w:type="dxa"/>
            <w:vAlign w:val="center"/>
          </w:tcPr>
          <w:p w14:paraId="73E38C62">
            <w:pPr>
              <w:spacing w:line="360" w:lineRule="auto"/>
              <w:jc w:val="center"/>
              <w:rPr>
                <w:rFonts w:hint="eastAsia" w:ascii="宋体" w:hAnsi="宋体" w:eastAsia="宋体" w:cs="宋体"/>
                <w:kern w:val="0"/>
                <w:sz w:val="24"/>
              </w:rPr>
            </w:pPr>
            <w:r>
              <w:rPr>
                <w:rFonts w:hint="eastAsia" w:ascii="宋体" w:hAnsi="宋体" w:eastAsia="宋体" w:cs="宋体"/>
                <w:kern w:val="0"/>
                <w:sz w:val="24"/>
              </w:rPr>
              <w:t>诚信</w:t>
            </w:r>
          </w:p>
        </w:tc>
        <w:tc>
          <w:tcPr>
            <w:tcW w:w="6129" w:type="dxa"/>
            <w:vAlign w:val="center"/>
          </w:tcPr>
          <w:p w14:paraId="7B8D831C">
            <w:pPr>
              <w:pStyle w:val="3"/>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（一）评分内容</w:t>
            </w:r>
          </w:p>
          <w:p w14:paraId="7EEBBE95">
            <w:pPr>
              <w:pStyle w:val="3"/>
              <w:adjustRightInd w:val="0"/>
              <w:snapToGrid w:val="0"/>
              <w:spacing w:line="360" w:lineRule="auto"/>
              <w:rPr>
                <w:rFonts w:hint="eastAsia" w:ascii="宋体" w:hAnsi="宋体" w:eastAsia="宋体" w:cs="宋体"/>
                <w:sz w:val="24"/>
              </w:rPr>
            </w:pPr>
            <w:r>
              <w:rPr>
                <w:rFonts w:hint="eastAsia" w:ascii="宋体" w:hAnsi="宋体" w:eastAsia="宋体" w:cs="宋体"/>
                <w:sz w:val="24"/>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34FB4C3F">
            <w:pPr>
              <w:pStyle w:val="3"/>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（二）评分依据</w:t>
            </w:r>
          </w:p>
          <w:p w14:paraId="27A8D8F1">
            <w:pPr>
              <w:pStyle w:val="3"/>
              <w:adjustRightInd w:val="0"/>
              <w:snapToGrid w:val="0"/>
              <w:spacing w:line="360" w:lineRule="auto"/>
              <w:rPr>
                <w:rFonts w:hint="eastAsia" w:ascii="宋体" w:hAnsi="宋体" w:eastAsia="宋体" w:cs="宋体"/>
                <w:b/>
                <w:kern w:val="2"/>
                <w:sz w:val="24"/>
              </w:rPr>
            </w:pPr>
            <w:r>
              <w:rPr>
                <w:rFonts w:hint="eastAsia" w:ascii="宋体" w:hAnsi="宋体" w:eastAsia="宋体" w:cs="宋体"/>
                <w:sz w:val="24"/>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851" w:type="dxa"/>
            <w:vAlign w:val="center"/>
          </w:tcPr>
          <w:p w14:paraId="1397570B">
            <w:pPr>
              <w:spacing w:line="360" w:lineRule="auto"/>
              <w:jc w:val="center"/>
              <w:rPr>
                <w:rFonts w:hint="eastAsia" w:ascii="宋体" w:hAnsi="宋体" w:eastAsia="宋体"/>
                <w:szCs w:val="21"/>
              </w:rPr>
            </w:pPr>
            <w:r>
              <w:rPr>
                <w:rFonts w:hint="eastAsia" w:ascii="宋体" w:hAnsi="宋体" w:eastAsia="宋体"/>
                <w:szCs w:val="21"/>
              </w:rPr>
              <w:t>5</w:t>
            </w:r>
          </w:p>
        </w:tc>
        <w:tc>
          <w:tcPr>
            <w:tcW w:w="939" w:type="dxa"/>
            <w:vAlign w:val="center"/>
          </w:tcPr>
          <w:p w14:paraId="2FF2EB08">
            <w:pPr>
              <w:spacing w:line="360" w:lineRule="auto"/>
              <w:jc w:val="center"/>
              <w:rPr>
                <w:rFonts w:hint="eastAsia" w:ascii="宋体" w:hAnsi="宋体" w:eastAsia="宋体"/>
                <w:szCs w:val="21"/>
              </w:rPr>
            </w:pPr>
            <w:r>
              <w:rPr>
                <w:rFonts w:hint="eastAsia" w:ascii="宋体" w:hAnsi="宋体" w:eastAsia="宋体"/>
                <w:szCs w:val="21"/>
              </w:rPr>
              <w:t>5</w:t>
            </w:r>
          </w:p>
        </w:tc>
      </w:tr>
    </w:tbl>
    <w:p w14:paraId="56B2B6A7">
      <w:pPr>
        <w:spacing w:line="440" w:lineRule="exact"/>
        <w:rPr>
          <w:rFonts w:hint="eastAsia" w:ascii="宋体" w:hAnsi="宋体" w:eastAsia="宋体" w:cs="宋体"/>
          <w:color w:val="000000"/>
          <w:sz w:val="28"/>
          <w:szCs w:val="28"/>
        </w:rPr>
      </w:pPr>
    </w:p>
    <w:p w14:paraId="51624D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6A2EB"/>
    <w:multiLevelType w:val="singleLevel"/>
    <w:tmpl w:val="9626A2EB"/>
    <w:lvl w:ilvl="0" w:tentative="0">
      <w:start w:val="1"/>
      <w:numFmt w:val="decimal"/>
      <w:lvlText w:val="%1."/>
      <w:lvlJc w:val="left"/>
      <w:pPr>
        <w:tabs>
          <w:tab w:val="left" w:pos="312"/>
        </w:tabs>
      </w:pPr>
    </w:lvl>
  </w:abstractNum>
  <w:abstractNum w:abstractNumId="1">
    <w:nsid w:val="04970A6C"/>
    <w:multiLevelType w:val="singleLevel"/>
    <w:tmpl w:val="04970A6C"/>
    <w:lvl w:ilvl="0" w:tentative="0">
      <w:start w:val="2"/>
      <w:numFmt w:val="decimal"/>
      <w:suff w:val="nothing"/>
      <w:lvlText w:val="%1、"/>
      <w:lvlJc w:val="left"/>
    </w:lvl>
  </w:abstractNum>
  <w:abstractNum w:abstractNumId="2">
    <w:nsid w:val="2B3D5B45"/>
    <w:multiLevelType w:val="singleLevel"/>
    <w:tmpl w:val="2B3D5B45"/>
    <w:lvl w:ilvl="0" w:tentative="0">
      <w:start w:val="1"/>
      <w:numFmt w:val="decimal"/>
      <w:suff w:val="nothing"/>
      <w:lvlText w:val="%1、"/>
      <w:lvlJc w:val="left"/>
    </w:lvl>
  </w:abstractNum>
  <w:abstractNum w:abstractNumId="3">
    <w:nsid w:val="3206A0CF"/>
    <w:multiLevelType w:val="singleLevel"/>
    <w:tmpl w:val="3206A0CF"/>
    <w:lvl w:ilvl="0" w:tentative="0">
      <w:start w:val="1"/>
      <w:numFmt w:val="chineseCounting"/>
      <w:suff w:val="nothing"/>
      <w:lvlText w:val="（%1）"/>
      <w:lvlJc w:val="left"/>
      <w:rPr>
        <w:rFonts w:hint="eastAsia"/>
        <w:b/>
        <w:bCs/>
      </w:rPr>
    </w:lvl>
  </w:abstractNum>
  <w:abstractNum w:abstractNumId="4">
    <w:nsid w:val="5AA70FE9"/>
    <w:multiLevelType w:val="multilevel"/>
    <w:tmpl w:val="5AA70FE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A6957"/>
    <w:rsid w:val="2B3A6957"/>
    <w:rsid w:val="2CFE53EB"/>
    <w:rsid w:val="4789392D"/>
    <w:rsid w:val="51403B38"/>
    <w:rsid w:val="783D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annotation text"/>
    <w:basedOn w:val="1"/>
    <w:qFormat/>
    <w:uiPriority w:val="0"/>
    <w:pPr>
      <w:jc w:val="left"/>
    </w:pPr>
    <w:rPr>
      <w:kern w:val="0"/>
      <w:sz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14397</Words>
  <Characters>15294</Characters>
  <Lines>0</Lines>
  <Paragraphs>0</Paragraphs>
  <TotalTime>5</TotalTime>
  <ScaleCrop>false</ScaleCrop>
  <LinksUpToDate>false</LinksUpToDate>
  <CharactersWithSpaces>15325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2025-09-26T07:01:00Z</dcterms:created>
  <dc:creator>陌上花</dc:creator>
  <cp:lastModifiedBy>陌上花</cp:lastModifiedBy>
  <dcterms:modified xsi:type="dcterms:W3CDTF">2025-09-28T00:45:09Z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D00014054C4048A39A94A07D779A48D6_11</vt:lpwstr>
  </property>
  <property fmtid="{D5CDD505-2E9C-101B-9397-08002B2CF9AE}" pid="4" name="KSOTemplateDocerSaveRecord">
    <vt:lpwstr>eyJoZGlkIjoiNWNjMDJkN2FmYTllZWU3ZDY3N2NlMzExYTI0NDJjODMiLCJ1c2VySWQiOiIzMjU1NTMwNDMifQ==</vt:lpwstr>
  </property>
</Properties>
</file>